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8C" w:rsidRDefault="0008368C">
      <w:r>
        <w:t>Conservation Biology</w:t>
      </w:r>
    </w:p>
    <w:p w:rsidR="0008368C" w:rsidRDefault="0008368C">
      <w:r>
        <w:t>Research Environment – history, present, future</w:t>
      </w:r>
      <w:bookmarkStart w:id="0" w:name="_GoBack"/>
      <w:bookmarkEnd w:id="0"/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>MQ recognised area of research strength</w:t>
      </w:r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>ERA 05 Environmental Sciences, Ecology, Evolution, Genetics, etc</w:t>
      </w:r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>Research stars: Lesley Hughes, Dick Frankham, Andy Beattie, name individual Future Fellows, DECRAs, etc, Tall Poppies (Rachael G), Eurekas (Raftos, Hughes), most highly cited (Westoby, Wright), Westoby – NSW Scientist of the Year 2015</w:t>
      </w:r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>OEH Adaptation Hub – biodiversity node</w:t>
      </w:r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>Marine &amp; Coastal responses node</w:t>
      </w:r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>MQ Centres – Key centre for Biodiversity &amp; Bioresources (original), Climate Futures, G2G, Marine, Biosecurity, Green Infrastructure, ARC ITTCs (Haynes &amp; Taylor)</w:t>
      </w:r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>NSW DPI, ANSTO, Taronga Zoo, Environmental Trust, OEH/NPWS, RBG&amp;DT, CSIRO, SIMS, WWF, Bush Heritage, Aust Wildlife Conservancy, IUCN, NSW Scientific Committee (incl. Fisheries)</w:t>
      </w:r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>Facilities – state of the art temperature- and CO2-control env facilities (PGF &amp; SWF), herbarium, boats, field vehicles, analytical facilities – geochem, sediment, isotopes, CHN, PC2 labs</w:t>
      </w:r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 xml:space="preserve">Mentoring – G2G research enrichment program, MQ’s mentoring scheme, all centres, women in science, </w:t>
      </w:r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>Alignment with MQ’s research priority 4: Secure Planet – living in a changing environment; 5 Innovative technologies – science &amp; engineering technologies for the 21</w:t>
      </w:r>
      <w:r w:rsidRPr="000B5C35">
        <w:rPr>
          <w:vertAlign w:val="superscript"/>
        </w:rPr>
        <w:t>st</w:t>
      </w:r>
      <w:r>
        <w:t xml:space="preserve"> century, Big Data</w:t>
      </w:r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>MQ – key objective – deliver research with world-changing impact – challenge-focused research, cross-disciplinary enquiry</w:t>
      </w:r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>Other objectives – prepare world-ready HDR candidates, world-leading research performance, collaborator of choice</w:t>
      </w:r>
    </w:p>
    <w:p w:rsidR="0008368C" w:rsidRDefault="0008368C" w:rsidP="00C61498">
      <w:pPr>
        <w:pStyle w:val="ListParagraph"/>
        <w:numPr>
          <w:ilvl w:val="0"/>
          <w:numId w:val="1"/>
        </w:numPr>
      </w:pPr>
      <w:r>
        <w:t>Cross-check with FSE strategic goals &amp; objectives</w:t>
      </w:r>
    </w:p>
    <w:sectPr w:rsidR="0008368C" w:rsidSect="00C5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4D44"/>
    <w:multiLevelType w:val="hybridMultilevel"/>
    <w:tmpl w:val="FAD8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498"/>
    <w:rsid w:val="00007138"/>
    <w:rsid w:val="00012A98"/>
    <w:rsid w:val="0008368C"/>
    <w:rsid w:val="000A0ED3"/>
    <w:rsid w:val="000B5C35"/>
    <w:rsid w:val="001D2754"/>
    <w:rsid w:val="006B61D6"/>
    <w:rsid w:val="00726345"/>
    <w:rsid w:val="008037F0"/>
    <w:rsid w:val="00834EC5"/>
    <w:rsid w:val="00B81A20"/>
    <w:rsid w:val="00C36DFC"/>
    <w:rsid w:val="00C468A9"/>
    <w:rsid w:val="00C558C0"/>
    <w:rsid w:val="00C61498"/>
    <w:rsid w:val="00C810B2"/>
    <w:rsid w:val="00EA3D5D"/>
    <w:rsid w:val="00EE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C0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1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235</Words>
  <Characters>1342</Characters>
  <Application>Microsoft Office Outlook</Application>
  <DocSecurity>0</DocSecurity>
  <Lines>0</Lines>
  <Paragraphs>0</Paragraphs>
  <ScaleCrop>false</ScaleCrop>
  <Company>Macquarie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Biology</dc:title>
  <dc:subject/>
  <dc:creator>Faculty of Science</dc:creator>
  <cp:keywords/>
  <dc:description/>
  <cp:lastModifiedBy>mbishop</cp:lastModifiedBy>
  <cp:revision>2</cp:revision>
  <dcterms:created xsi:type="dcterms:W3CDTF">2016-01-14T04:42:00Z</dcterms:created>
  <dcterms:modified xsi:type="dcterms:W3CDTF">2016-01-14T04:42:00Z</dcterms:modified>
</cp:coreProperties>
</file>