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6AF62" w14:textId="60D49C03" w:rsidR="0075567F" w:rsidRDefault="0075567F" w:rsidP="004F5B3C">
      <w:pPr>
        <w:jc w:val="center"/>
        <w:rPr>
          <w:b/>
          <w:sz w:val="28"/>
          <w:szCs w:val="28"/>
        </w:rPr>
      </w:pPr>
      <w:r>
        <w:rPr>
          <w:noProof/>
          <w:lang w:eastAsia="en-AU"/>
        </w:rPr>
        <w:drawing>
          <wp:anchor distT="0" distB="0" distL="114300" distR="114300" simplePos="0" relativeHeight="251663360" behindDoc="1" locked="0" layoutInCell="1" allowOverlap="1" wp14:anchorId="4159A13C" wp14:editId="4FC1D7D5">
            <wp:simplePos x="0" y="0"/>
            <wp:positionH relativeFrom="page">
              <wp:posOffset>5353050</wp:posOffset>
            </wp:positionH>
            <wp:positionV relativeFrom="page">
              <wp:posOffset>573405</wp:posOffset>
            </wp:positionV>
            <wp:extent cx="1945005" cy="73025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005" cy="730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831686" w14:textId="5437195B" w:rsidR="0075567F" w:rsidRDefault="0075567F" w:rsidP="004F5B3C">
      <w:pPr>
        <w:jc w:val="center"/>
        <w:rPr>
          <w:b/>
          <w:sz w:val="28"/>
          <w:szCs w:val="28"/>
        </w:rPr>
      </w:pPr>
    </w:p>
    <w:p w14:paraId="7ABE2602" w14:textId="56DECE60" w:rsidR="00835856" w:rsidRPr="00464A08" w:rsidRDefault="00E73077" w:rsidP="004F5B3C">
      <w:pPr>
        <w:jc w:val="center"/>
        <w:rPr>
          <w:b/>
          <w:sz w:val="28"/>
          <w:szCs w:val="28"/>
        </w:rPr>
      </w:pPr>
      <w:proofErr w:type="spellStart"/>
      <w:proofErr w:type="gramStart"/>
      <w:r w:rsidRPr="00464A08">
        <w:rPr>
          <w:b/>
          <w:sz w:val="28"/>
          <w:szCs w:val="28"/>
        </w:rPr>
        <w:t>eResearch</w:t>
      </w:r>
      <w:proofErr w:type="spellEnd"/>
      <w:proofErr w:type="gramEnd"/>
      <w:r w:rsidRPr="00464A08">
        <w:rPr>
          <w:b/>
          <w:sz w:val="28"/>
          <w:szCs w:val="28"/>
        </w:rPr>
        <w:t xml:space="preserve"> Discussion Paper</w:t>
      </w:r>
    </w:p>
    <w:p w14:paraId="6BC5099E" w14:textId="77777777" w:rsidR="002A04CB" w:rsidRDefault="002A04CB">
      <w:pPr>
        <w:rPr>
          <w:b/>
          <w:sz w:val="28"/>
          <w:szCs w:val="28"/>
        </w:rPr>
      </w:pPr>
    </w:p>
    <w:p w14:paraId="010EEC03" w14:textId="77777777" w:rsidR="002A04CB" w:rsidRPr="00464A08" w:rsidRDefault="002A04CB" w:rsidP="008E1033">
      <w:pPr>
        <w:pStyle w:val="ListParagraph"/>
        <w:numPr>
          <w:ilvl w:val="0"/>
          <w:numId w:val="8"/>
        </w:numPr>
        <w:rPr>
          <w:b/>
          <w:sz w:val="26"/>
          <w:szCs w:val="26"/>
        </w:rPr>
      </w:pPr>
      <w:r w:rsidRPr="00464A08">
        <w:rPr>
          <w:b/>
          <w:sz w:val="26"/>
          <w:szCs w:val="26"/>
        </w:rPr>
        <w:t>ISSUE</w:t>
      </w:r>
    </w:p>
    <w:p w14:paraId="3480DB13" w14:textId="32EBA391" w:rsidR="002A4728" w:rsidRDefault="002A04CB" w:rsidP="00DB56A3">
      <w:r>
        <w:t>Under the PVC</w:t>
      </w:r>
      <w:r w:rsidR="000E3E19">
        <w:t xml:space="preserve"> </w:t>
      </w:r>
      <w:r>
        <w:t>R</w:t>
      </w:r>
      <w:r w:rsidR="000E3E19">
        <w:t>esearch</w:t>
      </w:r>
      <w:r>
        <w:t xml:space="preserve"> (Performance and Innovation) po</w:t>
      </w:r>
      <w:r w:rsidR="000E3E19">
        <w:t>rtfolio Professor Peter Nelson</w:t>
      </w:r>
      <w:r>
        <w:t xml:space="preserve"> </w:t>
      </w:r>
      <w:r w:rsidR="00FF22C4">
        <w:t>is</w:t>
      </w:r>
      <w:r>
        <w:t xml:space="preserve"> responsib</w:t>
      </w:r>
      <w:r w:rsidR="00FF22C4">
        <w:t>le</w:t>
      </w:r>
      <w:r>
        <w:t xml:space="preserve"> for coordinating and overseeing the development of a Univ</w:t>
      </w:r>
      <w:r w:rsidR="000E3E19">
        <w:t xml:space="preserve">ersity-wide </w:t>
      </w:r>
      <w:proofErr w:type="spellStart"/>
      <w:r w:rsidR="000E3E19">
        <w:t>eResearch</w:t>
      </w:r>
      <w:proofErr w:type="spellEnd"/>
      <w:r w:rsidR="000E3E19">
        <w:t xml:space="preserve"> strategy </w:t>
      </w:r>
      <w:r>
        <w:t>that</w:t>
      </w:r>
      <w:r w:rsidR="005E5CA6">
        <w:t xml:space="preserve"> </w:t>
      </w:r>
      <w:r w:rsidR="000E3E19">
        <w:t>enables</w:t>
      </w:r>
      <w:r w:rsidR="005E5CA6">
        <w:t xml:space="preserve"> </w:t>
      </w:r>
      <w:r>
        <w:t>Macquarie</w:t>
      </w:r>
      <w:r w:rsidR="005E5CA6">
        <w:t xml:space="preserve"> to </w:t>
      </w:r>
      <w:r w:rsidR="002A4728">
        <w:t>harness</w:t>
      </w:r>
      <w:r w:rsidR="005E5CA6">
        <w:t xml:space="preserve"> the opportunities </w:t>
      </w:r>
      <w:proofErr w:type="spellStart"/>
      <w:r w:rsidR="005E5CA6">
        <w:t>eResearch</w:t>
      </w:r>
      <w:proofErr w:type="spellEnd"/>
      <w:r w:rsidR="005E5CA6">
        <w:t xml:space="preserve"> </w:t>
      </w:r>
      <w:r w:rsidR="000E3E19">
        <w:t>offers</w:t>
      </w:r>
      <w:r w:rsidR="005E5CA6">
        <w:t xml:space="preserve">. </w:t>
      </w:r>
    </w:p>
    <w:p w14:paraId="4E613348" w14:textId="64F93AD6" w:rsidR="00DB56A3" w:rsidRDefault="00DB56A3" w:rsidP="00DB56A3">
      <w:proofErr w:type="spellStart"/>
      <w:r>
        <w:t>eResearch</w:t>
      </w:r>
      <w:proofErr w:type="spellEnd"/>
      <w:r>
        <w:t xml:space="preserve"> underpins all four of Macquarie Universit</w:t>
      </w:r>
      <w:r w:rsidR="000E3E19">
        <w:t>y’s Strategic Research Framework</w:t>
      </w:r>
      <w:r>
        <w:t xml:space="preserve"> Key Research </w:t>
      </w:r>
      <w:r w:rsidRPr="007C487B">
        <w:t>Objectives</w:t>
      </w:r>
      <w:r w:rsidR="00DF5021">
        <w:rPr>
          <w:rStyle w:val="FootnoteReference"/>
        </w:rPr>
        <w:footnoteReference w:id="1"/>
      </w:r>
      <w:r w:rsidR="000E3E19">
        <w:t xml:space="preserve"> and is a </w:t>
      </w:r>
      <w:r w:rsidR="00DF5021">
        <w:t>fundamental</w:t>
      </w:r>
      <w:r w:rsidR="000E3E19">
        <w:t xml:space="preserve"> enabler of the Strategic Priorities </w:t>
      </w:r>
      <w:r w:rsidR="00DF5021">
        <w:t xml:space="preserve">set out in </w:t>
      </w:r>
      <w:r w:rsidR="000E3E19">
        <w:t>the University’s A Framing of Futures</w:t>
      </w:r>
      <w:r w:rsidR="00DF5021">
        <w:rPr>
          <w:rStyle w:val="FootnoteReference"/>
        </w:rPr>
        <w:footnoteReference w:id="2"/>
      </w:r>
      <w:r w:rsidR="00DF5021">
        <w:t>, particularly speaking to the aims of ‘</w:t>
      </w:r>
      <w:r w:rsidR="00DF5021" w:rsidRPr="00DF5021">
        <w:rPr>
          <w:i/>
        </w:rPr>
        <w:t>an accelerated and impactful performance in discovery’</w:t>
      </w:r>
      <w:r>
        <w:t xml:space="preserve">. </w:t>
      </w:r>
      <w:r w:rsidR="00652E9A">
        <w:t>A</w:t>
      </w:r>
      <w:r w:rsidR="000F5299">
        <w:t xml:space="preserve"> strategy </w:t>
      </w:r>
      <w:r w:rsidR="00652E9A">
        <w:t xml:space="preserve">is needed to guide development of </w:t>
      </w:r>
      <w:r w:rsidR="000E3E19">
        <w:t>Macquarie’s</w:t>
      </w:r>
      <w:r w:rsidR="000F5299">
        <w:t xml:space="preserve"> </w:t>
      </w:r>
      <w:proofErr w:type="spellStart"/>
      <w:r w:rsidR="000F5299">
        <w:t>eResearch</w:t>
      </w:r>
      <w:proofErr w:type="spellEnd"/>
      <w:r w:rsidR="000F5299">
        <w:t xml:space="preserve"> capabilities and </w:t>
      </w:r>
      <w:r w:rsidR="0069249C">
        <w:t>deliver on our objective</w:t>
      </w:r>
      <w:r w:rsidR="000E3E19">
        <w:t>s</w:t>
      </w:r>
      <w:r w:rsidR="0069249C">
        <w:t xml:space="preserve"> to produce world-leading research</w:t>
      </w:r>
      <w:r w:rsidR="005931B9">
        <w:t xml:space="preserve"> and deliver world-changing impact</w:t>
      </w:r>
      <w:r w:rsidR="0069249C">
        <w:t xml:space="preserve"> </w:t>
      </w:r>
      <w:r w:rsidR="000F5299">
        <w:t xml:space="preserve">in an accelerated research environment.  </w:t>
      </w:r>
    </w:p>
    <w:p w14:paraId="01F92C29" w14:textId="6733A634" w:rsidR="002A04CB" w:rsidRDefault="002A04CB">
      <w:r>
        <w:t>This discussion paper presents the findings of a consultation and benchmarking process</w:t>
      </w:r>
      <w:r w:rsidR="00652E9A">
        <w:t xml:space="preserve"> undertaken by</w:t>
      </w:r>
      <w:r w:rsidR="0019342A">
        <w:t xml:space="preserve"> a small </w:t>
      </w:r>
      <w:proofErr w:type="spellStart"/>
      <w:r w:rsidR="0019342A">
        <w:t>eResearch</w:t>
      </w:r>
      <w:proofErr w:type="spellEnd"/>
      <w:r w:rsidR="0019342A">
        <w:t xml:space="preserve"> working party consisting of</w:t>
      </w:r>
      <w:r w:rsidR="00652E9A">
        <w:t xml:space="preserve"> the PVC</w:t>
      </w:r>
      <w:r w:rsidR="000E3E19">
        <w:t xml:space="preserve"> </w:t>
      </w:r>
      <w:r w:rsidR="00652E9A">
        <w:t>R</w:t>
      </w:r>
      <w:r w:rsidR="000E3E19">
        <w:t>esearch</w:t>
      </w:r>
      <w:r w:rsidR="00652E9A">
        <w:t xml:space="preserve"> (Performance and Innovation) and PVC</w:t>
      </w:r>
      <w:r w:rsidR="000E3E19">
        <w:t xml:space="preserve"> </w:t>
      </w:r>
      <w:r w:rsidR="00652E9A">
        <w:t>R</w:t>
      </w:r>
      <w:r w:rsidR="000E3E19">
        <w:t>esearch Project</w:t>
      </w:r>
      <w:r w:rsidR="00652E9A">
        <w:t xml:space="preserve"> Coordinator</w:t>
      </w:r>
      <w:r w:rsidR="0019342A">
        <w:t>. In this paper</w:t>
      </w:r>
      <w:r>
        <w:t xml:space="preserve"> we</w:t>
      </w:r>
      <w:r w:rsidR="005E5CA6">
        <w:t xml:space="preserve"> </w:t>
      </w:r>
      <w:r w:rsidR="0069249C">
        <w:t>discuss</w:t>
      </w:r>
      <w:r w:rsidR="000529AC">
        <w:t xml:space="preserve"> the</w:t>
      </w:r>
      <w:r w:rsidR="0069249C">
        <w:t xml:space="preserve"> </w:t>
      </w:r>
      <w:proofErr w:type="spellStart"/>
      <w:r w:rsidR="0069249C">
        <w:t>eResearch</w:t>
      </w:r>
      <w:proofErr w:type="spellEnd"/>
      <w:r w:rsidR="0069249C">
        <w:t xml:space="preserve"> landscape both locally and internationally, describe the</w:t>
      </w:r>
      <w:r w:rsidR="000529AC">
        <w:t xml:space="preserve"> activity that has and is taking place at </w:t>
      </w:r>
      <w:r w:rsidR="005931B9">
        <w:t xml:space="preserve">Macquarie </w:t>
      </w:r>
      <w:r w:rsidR="000529AC" w:rsidRPr="005931B9">
        <w:t xml:space="preserve">and </w:t>
      </w:r>
      <w:r w:rsidR="005E5CA6" w:rsidRPr="005931B9">
        <w:t xml:space="preserve">discuss </w:t>
      </w:r>
      <w:r w:rsidR="000529AC" w:rsidRPr="005931B9">
        <w:t xml:space="preserve">options for progressing </w:t>
      </w:r>
      <w:r w:rsidR="0019342A">
        <w:t>the University’s</w:t>
      </w:r>
      <w:r w:rsidR="000529AC" w:rsidRPr="005931B9">
        <w:t xml:space="preserve"> </w:t>
      </w:r>
      <w:proofErr w:type="spellStart"/>
      <w:r w:rsidR="000529AC" w:rsidRPr="005931B9">
        <w:t>eResearch</w:t>
      </w:r>
      <w:proofErr w:type="spellEnd"/>
      <w:r w:rsidR="000529AC" w:rsidRPr="005931B9">
        <w:t xml:space="preserve"> </w:t>
      </w:r>
      <w:r w:rsidR="00FF22C4" w:rsidRPr="005931B9">
        <w:t>capacity</w:t>
      </w:r>
      <w:r w:rsidR="000529AC" w:rsidRPr="005931B9">
        <w:t>.</w:t>
      </w:r>
      <w:r w:rsidR="000529AC">
        <w:t xml:space="preserve"> </w:t>
      </w:r>
      <w:r w:rsidR="007C487B">
        <w:t xml:space="preserve">Finally, we ask readers to consider these options and contribute to discussion that will help consolidate a vision and strategy for </w:t>
      </w:r>
      <w:proofErr w:type="spellStart"/>
      <w:r w:rsidR="007C487B">
        <w:t>eResearch</w:t>
      </w:r>
      <w:proofErr w:type="spellEnd"/>
      <w:r w:rsidR="007C487B">
        <w:t xml:space="preserve"> at Macquarie. </w:t>
      </w:r>
    </w:p>
    <w:p w14:paraId="4F1FD857" w14:textId="77777777" w:rsidR="002A04CB" w:rsidRDefault="002A04CB"/>
    <w:p w14:paraId="13BB6B56" w14:textId="77777777" w:rsidR="00ED6F6F" w:rsidRPr="00464A08" w:rsidRDefault="00ED6F6F" w:rsidP="008E1033">
      <w:pPr>
        <w:pStyle w:val="ListParagraph"/>
        <w:numPr>
          <w:ilvl w:val="0"/>
          <w:numId w:val="8"/>
        </w:numPr>
        <w:rPr>
          <w:b/>
          <w:sz w:val="26"/>
          <w:szCs w:val="26"/>
        </w:rPr>
      </w:pPr>
      <w:r w:rsidRPr="00464A08">
        <w:rPr>
          <w:b/>
          <w:sz w:val="26"/>
          <w:szCs w:val="26"/>
        </w:rPr>
        <w:t>DEFINITION</w:t>
      </w:r>
    </w:p>
    <w:p w14:paraId="181171AD" w14:textId="1B0C5E44" w:rsidR="00CD0B8E" w:rsidRDefault="00DF347C" w:rsidP="00ED6F6F">
      <w:r>
        <w:t xml:space="preserve">The most common definition of </w:t>
      </w:r>
      <w:proofErr w:type="spellStart"/>
      <w:r w:rsidR="00556546">
        <w:t>eResearch</w:t>
      </w:r>
      <w:proofErr w:type="spellEnd"/>
      <w:r w:rsidR="00ED6F6F">
        <w:t xml:space="preserve"> refers to the</w:t>
      </w:r>
      <w:r w:rsidR="00556546">
        <w:t xml:space="preserve"> </w:t>
      </w:r>
      <w:r>
        <w:t>use of advanced informati</w:t>
      </w:r>
      <w:r w:rsidR="00652E9A">
        <w:t>on and communications technologies</w:t>
      </w:r>
      <w:r>
        <w:t xml:space="preserve"> </w:t>
      </w:r>
      <w:r w:rsidR="00ED6F6F">
        <w:t>that support and enhance research</w:t>
      </w:r>
      <w:r w:rsidR="004F2C2F">
        <w:t xml:space="preserve">. </w:t>
      </w:r>
      <w:r>
        <w:t xml:space="preserve">These technologies </w:t>
      </w:r>
      <w:r w:rsidR="00ED6F6F">
        <w:t xml:space="preserve">encompass </w:t>
      </w:r>
      <w:r w:rsidR="00CD0B8E">
        <w:t xml:space="preserve">but are not limited to </w:t>
      </w:r>
      <w:r w:rsidR="00ED6F6F">
        <w:t>data storage</w:t>
      </w:r>
      <w:r>
        <w:t xml:space="preserve"> facilities</w:t>
      </w:r>
      <w:r w:rsidR="00ED6F6F">
        <w:t xml:space="preserve">, high performance computing, </w:t>
      </w:r>
      <w:r w:rsidR="007D7EA5">
        <w:t>mobile</w:t>
      </w:r>
      <w:r w:rsidR="00ED6F6F">
        <w:t xml:space="preserve"> research</w:t>
      </w:r>
      <w:r>
        <w:t xml:space="preserve"> tools, the cloud, virtual labs, simulation</w:t>
      </w:r>
      <w:r w:rsidR="002722E3">
        <w:t xml:space="preserve"> environments</w:t>
      </w:r>
      <w:r>
        <w:t xml:space="preserve"> and visualisation tools. </w:t>
      </w:r>
      <w:r w:rsidR="002722E3">
        <w:t>The technologies themselves</w:t>
      </w:r>
      <w:r w:rsidR="000F0796">
        <w:t xml:space="preserve"> can serve to</w:t>
      </w:r>
      <w:r w:rsidR="002722E3">
        <w:t xml:space="preserve"> reduce risk associated with data storage</w:t>
      </w:r>
      <w:r w:rsidR="000F0796">
        <w:t xml:space="preserve">, increase the size and scope of </w:t>
      </w:r>
      <w:r w:rsidR="00CD0B8E">
        <w:t xml:space="preserve">research datasets, </w:t>
      </w:r>
      <w:r w:rsidR="000F0796">
        <w:t xml:space="preserve">accelerate </w:t>
      </w:r>
      <w:r w:rsidR="00CD0B8E">
        <w:t xml:space="preserve">data collection, </w:t>
      </w:r>
      <w:r w:rsidR="000F0796">
        <w:t>analysis and results, enable collaboration and</w:t>
      </w:r>
      <w:r w:rsidR="002722E3">
        <w:t xml:space="preserve"> maximise research outcomes</w:t>
      </w:r>
      <w:r w:rsidR="000F0796">
        <w:t xml:space="preserve">. </w:t>
      </w:r>
    </w:p>
    <w:p w14:paraId="7042AC7F" w14:textId="396FD878" w:rsidR="002722E3" w:rsidRDefault="00CD0B8E" w:rsidP="00ED6F6F">
      <w:r>
        <w:t xml:space="preserve">A range of </w:t>
      </w:r>
      <w:proofErr w:type="spellStart"/>
      <w:r>
        <w:t>eResearch</w:t>
      </w:r>
      <w:proofErr w:type="spellEnd"/>
      <w:r>
        <w:t xml:space="preserve"> perspectives were discussed during the course of </w:t>
      </w:r>
      <w:r w:rsidR="00EE7A6C">
        <w:t>the</w:t>
      </w:r>
      <w:r>
        <w:t xml:space="preserve"> consultation</w:t>
      </w:r>
      <w:r w:rsidR="00EE7A6C">
        <w:t xml:space="preserve"> process</w:t>
      </w:r>
      <w:r>
        <w:t xml:space="preserve">. </w:t>
      </w:r>
      <w:r w:rsidR="00901A1A">
        <w:t xml:space="preserve">While these perspectives illustrate the heterogeneity of </w:t>
      </w:r>
      <w:proofErr w:type="spellStart"/>
      <w:r w:rsidR="00901A1A">
        <w:t>eResearch</w:t>
      </w:r>
      <w:proofErr w:type="spellEnd"/>
      <w:r w:rsidR="00901A1A">
        <w:t xml:space="preserve"> practice and needs p</w:t>
      </w:r>
      <w:r>
        <w:t xml:space="preserve">erhaps the most accurate </w:t>
      </w:r>
      <w:r w:rsidR="002A4728">
        <w:t xml:space="preserve">summation was </w:t>
      </w:r>
      <w:r w:rsidR="00DF5021">
        <w:t>the suggestion that</w:t>
      </w:r>
      <w:r>
        <w:t xml:space="preserve"> “in a very short time the term </w:t>
      </w:r>
      <w:proofErr w:type="spellStart"/>
      <w:r>
        <w:t>eResearch</w:t>
      </w:r>
      <w:proofErr w:type="spellEnd"/>
      <w:r>
        <w:t xml:space="preserve"> will cease to e</w:t>
      </w:r>
      <w:r w:rsidR="002A4728">
        <w:t>x</w:t>
      </w:r>
      <w:r w:rsidR="00901A1A">
        <w:t xml:space="preserve">ist; it will just be research”. This </w:t>
      </w:r>
      <w:r w:rsidR="002A4728">
        <w:t>signal</w:t>
      </w:r>
      <w:r w:rsidR="00901A1A">
        <w:t xml:space="preserve">s </w:t>
      </w:r>
      <w:r w:rsidR="00652E9A">
        <w:t xml:space="preserve">the pervasiveness of </w:t>
      </w:r>
      <w:proofErr w:type="spellStart"/>
      <w:r w:rsidR="00652E9A">
        <w:t>eResearch</w:t>
      </w:r>
      <w:proofErr w:type="spellEnd"/>
      <w:r w:rsidR="00652E9A">
        <w:t xml:space="preserve"> across the research environment. </w:t>
      </w:r>
    </w:p>
    <w:p w14:paraId="48E07C3F" w14:textId="77777777" w:rsidR="00ED6F6F" w:rsidRDefault="00ED6F6F">
      <w:pPr>
        <w:rPr>
          <w:b/>
        </w:rPr>
      </w:pPr>
    </w:p>
    <w:p w14:paraId="670B5D51" w14:textId="405708D8" w:rsidR="002A04CB" w:rsidRPr="00464A08" w:rsidRDefault="000529AC" w:rsidP="008E1033">
      <w:pPr>
        <w:pStyle w:val="ListParagraph"/>
        <w:numPr>
          <w:ilvl w:val="0"/>
          <w:numId w:val="8"/>
        </w:numPr>
        <w:rPr>
          <w:b/>
          <w:sz w:val="26"/>
          <w:szCs w:val="26"/>
        </w:rPr>
      </w:pPr>
      <w:r w:rsidRPr="00464A08">
        <w:rPr>
          <w:b/>
          <w:sz w:val="26"/>
          <w:szCs w:val="26"/>
        </w:rPr>
        <w:lastRenderedPageBreak/>
        <w:t>BACKGROUND</w:t>
      </w:r>
    </w:p>
    <w:p w14:paraId="3A07E3DD" w14:textId="1FA7E690" w:rsidR="004E11DD" w:rsidRDefault="000529AC" w:rsidP="004E11DD">
      <w:proofErr w:type="spellStart"/>
      <w:proofErr w:type="gramStart"/>
      <w:r>
        <w:t>eResearch</w:t>
      </w:r>
      <w:proofErr w:type="spellEnd"/>
      <w:proofErr w:type="gramEnd"/>
      <w:r>
        <w:t xml:space="preserve"> tools and infrastructure are creating fundamental chang</w:t>
      </w:r>
      <w:r w:rsidR="004E11DD">
        <w:t xml:space="preserve">es in the way research is done, </w:t>
      </w:r>
      <w:r>
        <w:t xml:space="preserve"> characterised by openness, col</w:t>
      </w:r>
      <w:r w:rsidR="004E11DD">
        <w:t>laboration, accelerated results</w:t>
      </w:r>
      <w:r w:rsidR="007D7EA5">
        <w:t xml:space="preserve"> and </w:t>
      </w:r>
      <w:r>
        <w:t>re-purposing of data</w:t>
      </w:r>
      <w:r w:rsidR="004E11DD">
        <w:t>. Digital data storage facilities for active and archive data are now basic requirements for research institution</w:t>
      </w:r>
      <w:r w:rsidR="004F2C2F">
        <w:t>s</w:t>
      </w:r>
      <w:r w:rsidR="004E11DD">
        <w:t xml:space="preserve">. </w:t>
      </w:r>
      <w:r>
        <w:t>Digital tools and mobile technologies are b</w:t>
      </w:r>
      <w:r w:rsidR="004E11DD">
        <w:t>eing employed for data capture</w:t>
      </w:r>
      <w:r w:rsidR="004F2C2F">
        <w:t>. H</w:t>
      </w:r>
      <w:r>
        <w:t xml:space="preserve">igh performance computing is making critical advances in data analysis. </w:t>
      </w:r>
      <w:r w:rsidR="004E11DD">
        <w:t xml:space="preserve">The </w:t>
      </w:r>
      <w:r w:rsidR="004F2C2F">
        <w:t xml:space="preserve">now standard </w:t>
      </w:r>
      <w:r w:rsidR="004E11DD">
        <w:t xml:space="preserve">requirement for open access journal </w:t>
      </w:r>
      <w:r w:rsidR="004F2C2F">
        <w:t>articles</w:t>
      </w:r>
      <w:r w:rsidR="004E11DD">
        <w:t xml:space="preserve"> has paved the way for funding bodies to encour</w:t>
      </w:r>
      <w:r w:rsidR="00DF5021">
        <w:t xml:space="preserve">age, and in some cases mandate </w:t>
      </w:r>
      <w:r w:rsidR="004E11DD">
        <w:t xml:space="preserve">researchers to make their data open, accessible and re-useable. </w:t>
      </w:r>
    </w:p>
    <w:p w14:paraId="3EE6EE88" w14:textId="7515DC14" w:rsidR="00AC3814" w:rsidRDefault="00AC3814" w:rsidP="004E11DD">
      <w:r>
        <w:t xml:space="preserve">Macquarie University has engaged with </w:t>
      </w:r>
      <w:proofErr w:type="spellStart"/>
      <w:r>
        <w:t>eResearch</w:t>
      </w:r>
      <w:proofErr w:type="spellEnd"/>
      <w:r>
        <w:t xml:space="preserve"> to a degree and some groups have produced significant </w:t>
      </w:r>
      <w:proofErr w:type="spellStart"/>
      <w:r>
        <w:t>eResearch</w:t>
      </w:r>
      <w:proofErr w:type="spellEnd"/>
      <w:r>
        <w:t xml:space="preserve"> advances. However</w:t>
      </w:r>
      <w:r w:rsidR="00E154B0">
        <w:t>,</w:t>
      </w:r>
      <w:r w:rsidR="003E4B34">
        <w:t xml:space="preserve"> as an institution there is much scope to strategically embrace opportunities to enhance our competitiveness. Institutions who have done so</w:t>
      </w:r>
      <w:r>
        <w:t xml:space="preserve"> locally and internationally are leading major changes in research practice and consequent outcomes. </w:t>
      </w:r>
    </w:p>
    <w:p w14:paraId="5BBD5D4A" w14:textId="6E152B9F" w:rsidR="00985686" w:rsidRDefault="004F2C2F" w:rsidP="004E11DD">
      <w:r>
        <w:t>Macquarie University</w:t>
      </w:r>
      <w:r w:rsidR="00EE7A6C">
        <w:t>’s</w:t>
      </w:r>
      <w:r>
        <w:t xml:space="preserve"> Information Technology </w:t>
      </w:r>
      <w:r w:rsidR="00EE7A6C">
        <w:t>unit is</w:t>
      </w:r>
      <w:r>
        <w:t xml:space="preserve"> currently developing a call</w:t>
      </w:r>
      <w:r w:rsidR="000C6701">
        <w:t>-</w:t>
      </w:r>
      <w:r>
        <w:t>for</w:t>
      </w:r>
      <w:r w:rsidR="000C6701">
        <w:t>-</w:t>
      </w:r>
      <w:r>
        <w:t xml:space="preserve">tender for data storage and high performance computing. This will be a significant advance for </w:t>
      </w:r>
      <w:r w:rsidR="00EE7A6C">
        <w:t>the University and help</w:t>
      </w:r>
      <w:r>
        <w:t xml:space="preserve"> overcome data management is</w:t>
      </w:r>
      <w:r w:rsidR="007D7EA5">
        <w:t>sues, minimise risk associated with data loss and corruption</w:t>
      </w:r>
      <w:r w:rsidR="00E154B0">
        <w:t>,</w:t>
      </w:r>
      <w:r w:rsidR="00AC3814">
        <w:t xml:space="preserve"> and advance our research capabilities</w:t>
      </w:r>
      <w:r w:rsidR="007D7EA5">
        <w:t>.</w:t>
      </w:r>
    </w:p>
    <w:p w14:paraId="0AB0CF14" w14:textId="65DE5379" w:rsidR="00FF22C4" w:rsidRDefault="00870B02" w:rsidP="00FF22C4">
      <w:r>
        <w:t>I</w:t>
      </w:r>
      <w:r w:rsidR="00CD4090">
        <w:t>n addition to these steps it</w:t>
      </w:r>
      <w:r>
        <w:t xml:space="preserve"> is </w:t>
      </w:r>
      <w:r w:rsidR="00AC3814">
        <w:t>vital</w:t>
      </w:r>
      <w:r>
        <w:t xml:space="preserve"> the University commit to an organisational </w:t>
      </w:r>
      <w:proofErr w:type="spellStart"/>
      <w:r>
        <w:t>eResearch</w:t>
      </w:r>
      <w:proofErr w:type="spellEnd"/>
      <w:r>
        <w:t xml:space="preserve"> strategy</w:t>
      </w:r>
      <w:r w:rsidR="00FF22C4">
        <w:t xml:space="preserve">. At a </w:t>
      </w:r>
      <w:r w:rsidR="00AC3814">
        <w:t>rudimentary</w:t>
      </w:r>
      <w:r w:rsidR="00FF22C4">
        <w:t xml:space="preserve"> level we need to improve our data management practices</w:t>
      </w:r>
      <w:r w:rsidR="00CD4090">
        <w:t xml:space="preserve">. At a strategic level </w:t>
      </w:r>
      <w:r w:rsidR="00FF22C4">
        <w:t xml:space="preserve">we </w:t>
      </w:r>
      <w:r w:rsidR="006054DE">
        <w:t>must</w:t>
      </w:r>
      <w:r w:rsidR="00FF22C4">
        <w:t xml:space="preserve"> invest in infrastructure, tools and building capability in our staff and students</w:t>
      </w:r>
      <w:r w:rsidR="00BB56B1">
        <w:t xml:space="preserve">. It is only by </w:t>
      </w:r>
      <w:r w:rsidR="00175D63">
        <w:t>developing the</w:t>
      </w:r>
      <w:r w:rsidR="00BB56B1">
        <w:t xml:space="preserve"> material and personnel capabilities </w:t>
      </w:r>
      <w:r w:rsidR="00175D63">
        <w:t xml:space="preserve">needed </w:t>
      </w:r>
      <w:r w:rsidR="00BB56B1">
        <w:t xml:space="preserve">to respond to rapid </w:t>
      </w:r>
      <w:proofErr w:type="spellStart"/>
      <w:r w:rsidR="00BB56B1">
        <w:t>eResearch</w:t>
      </w:r>
      <w:proofErr w:type="spellEnd"/>
      <w:r w:rsidR="00BB56B1">
        <w:t xml:space="preserve"> advances that Macquarie will</w:t>
      </w:r>
      <w:r w:rsidR="00CD4090">
        <w:t xml:space="preserve"> remain competitive,</w:t>
      </w:r>
      <w:r w:rsidR="00BB56B1">
        <w:t xml:space="preserve"> </w:t>
      </w:r>
      <w:r w:rsidR="00CD4090">
        <w:t xml:space="preserve">win funding, </w:t>
      </w:r>
      <w:r w:rsidR="00EE7A6C">
        <w:t xml:space="preserve">meet </w:t>
      </w:r>
      <w:r w:rsidR="00BB56B1">
        <w:t xml:space="preserve">the </w:t>
      </w:r>
      <w:r w:rsidR="00EE7A6C">
        <w:t xml:space="preserve">mandatory requirements of funding bodies, </w:t>
      </w:r>
      <w:r w:rsidR="00CD4090">
        <w:t>engage as a collaborator of choice and produce</w:t>
      </w:r>
      <w:r w:rsidR="00E154B0">
        <w:t xml:space="preserve"> innovative and</w:t>
      </w:r>
      <w:r w:rsidR="00CD4090">
        <w:t xml:space="preserve"> impactful research</w:t>
      </w:r>
      <w:r w:rsidR="00FF22C4">
        <w:t xml:space="preserve">. </w:t>
      </w:r>
    </w:p>
    <w:p w14:paraId="3C04FB06" w14:textId="77777777" w:rsidR="00985686" w:rsidRDefault="00985686" w:rsidP="004E11DD"/>
    <w:p w14:paraId="261ED6F8" w14:textId="77777777" w:rsidR="00ED6F6F" w:rsidRPr="00464A08" w:rsidRDefault="00ED6F6F" w:rsidP="008E1033">
      <w:pPr>
        <w:pStyle w:val="ListParagraph"/>
        <w:numPr>
          <w:ilvl w:val="0"/>
          <w:numId w:val="8"/>
        </w:numPr>
        <w:rPr>
          <w:b/>
          <w:sz w:val="26"/>
          <w:szCs w:val="26"/>
        </w:rPr>
      </w:pPr>
      <w:r w:rsidRPr="00464A08">
        <w:rPr>
          <w:b/>
          <w:sz w:val="26"/>
          <w:szCs w:val="26"/>
        </w:rPr>
        <w:t>CONSULTATION</w:t>
      </w:r>
      <w:r w:rsidR="00DA33BA" w:rsidRPr="00464A08">
        <w:rPr>
          <w:b/>
          <w:sz w:val="26"/>
          <w:szCs w:val="26"/>
        </w:rPr>
        <w:t xml:space="preserve"> AND RESEARCH</w:t>
      </w:r>
    </w:p>
    <w:p w14:paraId="1D3536F4" w14:textId="3D21CD35" w:rsidR="00E154B0" w:rsidRDefault="00E154B0" w:rsidP="001156AA">
      <w:r>
        <w:t xml:space="preserve">The </w:t>
      </w:r>
      <w:proofErr w:type="spellStart"/>
      <w:r>
        <w:t>eResearch</w:t>
      </w:r>
      <w:proofErr w:type="spellEnd"/>
      <w:r>
        <w:t xml:space="preserve"> working party has scanned the national and international research environment, with a particular focus on the way </w:t>
      </w:r>
      <w:proofErr w:type="spellStart"/>
      <w:r>
        <w:t>eResearch</w:t>
      </w:r>
      <w:proofErr w:type="spellEnd"/>
      <w:r>
        <w:t xml:space="preserve"> is shaping research practices and opening up exciting opportunities for research outcomes with real world impact.</w:t>
      </w:r>
    </w:p>
    <w:p w14:paraId="737C9FEA" w14:textId="6DB468B5" w:rsidR="00E154B0" w:rsidRDefault="00E154B0" w:rsidP="00E154B0">
      <w:r>
        <w:t xml:space="preserve">We have reviewed how other universities are approaching </w:t>
      </w:r>
      <w:proofErr w:type="spellStart"/>
      <w:r>
        <w:t>eResearch</w:t>
      </w:r>
      <w:proofErr w:type="spellEnd"/>
      <w:r>
        <w:t xml:space="preserve"> by looking at different approaches to policy, staffing, infrastructure and support at a number of institutions and through attendance at a number of conferences and events (</w:t>
      </w:r>
      <w:proofErr w:type="spellStart"/>
      <w:r>
        <w:t>eResearch</w:t>
      </w:r>
      <w:proofErr w:type="spellEnd"/>
      <w:r>
        <w:t xml:space="preserve"> Australasia, Digital Humanities Conference, ANDS Open Research Data Showcase).</w:t>
      </w:r>
    </w:p>
    <w:p w14:paraId="0829AE01" w14:textId="132FB342" w:rsidR="002D275C" w:rsidRDefault="00EE7A6C" w:rsidP="001156AA">
      <w:r>
        <w:t xml:space="preserve">Over a three month period the </w:t>
      </w:r>
      <w:proofErr w:type="spellStart"/>
      <w:r w:rsidR="0019342A">
        <w:t>eResearch</w:t>
      </w:r>
      <w:proofErr w:type="spellEnd"/>
      <w:r w:rsidR="0019342A">
        <w:t xml:space="preserve"> working party</w:t>
      </w:r>
      <w:r w:rsidR="002D275C">
        <w:t xml:space="preserve"> met with individuals and groups across the University – those with an interest or expertise in </w:t>
      </w:r>
      <w:proofErr w:type="spellStart"/>
      <w:r w:rsidR="002D275C">
        <w:t>eResearch</w:t>
      </w:r>
      <w:proofErr w:type="spellEnd"/>
      <w:r w:rsidR="002D275C">
        <w:t>, and key stakeholders within Faculties</w:t>
      </w:r>
      <w:r>
        <w:t xml:space="preserve"> and Offices</w:t>
      </w:r>
      <w:r w:rsidR="0075567F">
        <w:t xml:space="preserve">. We </w:t>
      </w:r>
      <w:r w:rsidR="00272024">
        <w:t>thank</w:t>
      </w:r>
      <w:r w:rsidR="0075567F" w:rsidRPr="0075567F">
        <w:t xml:space="preserve"> these people who generously gave us their time and shared their expertise to shap</w:t>
      </w:r>
      <w:r w:rsidR="00644A32">
        <w:t>e the development of this paper:</w:t>
      </w:r>
      <w:r w:rsidR="0075567F" w:rsidRPr="0075567F">
        <w:t> </w:t>
      </w:r>
    </w:p>
    <w:p w14:paraId="59F23D9C" w14:textId="5A24620A" w:rsidR="00ED6F6F" w:rsidRDefault="00ED6F6F" w:rsidP="00835856">
      <w:pPr>
        <w:pStyle w:val="ListParagraph"/>
        <w:numPr>
          <w:ilvl w:val="0"/>
          <w:numId w:val="5"/>
        </w:numPr>
      </w:pPr>
      <w:r>
        <w:t>Louise Fleck</w:t>
      </w:r>
      <w:r w:rsidR="00EE7A6C">
        <w:t xml:space="preserve"> and </w:t>
      </w:r>
      <w:proofErr w:type="spellStart"/>
      <w:r w:rsidR="00EE7A6C">
        <w:t>Sem</w:t>
      </w:r>
      <w:r>
        <w:t>ira</w:t>
      </w:r>
      <w:proofErr w:type="spellEnd"/>
      <w:r>
        <w:t xml:space="preserve"> </w:t>
      </w:r>
      <w:proofErr w:type="spellStart"/>
      <w:r>
        <w:t>Dautovi</w:t>
      </w:r>
      <w:r w:rsidR="009C47C7">
        <w:t>c</w:t>
      </w:r>
      <w:proofErr w:type="spellEnd"/>
      <w:r>
        <w:t>, Research Office</w:t>
      </w:r>
    </w:p>
    <w:p w14:paraId="3D326755" w14:textId="58548E13" w:rsidR="00ED6F6F" w:rsidRDefault="00EE7A6C" w:rsidP="00ED6F6F">
      <w:pPr>
        <w:pStyle w:val="ListParagraph"/>
        <w:numPr>
          <w:ilvl w:val="0"/>
          <w:numId w:val="5"/>
        </w:numPr>
      </w:pPr>
      <w:r>
        <w:t xml:space="preserve">A/Prof </w:t>
      </w:r>
      <w:r w:rsidR="00ED6F6F">
        <w:t xml:space="preserve">Shawn Ross, </w:t>
      </w:r>
      <w:r>
        <w:t>Dr Brian Ballsun-Stanton</w:t>
      </w:r>
      <w:r w:rsidR="00ED6F6F">
        <w:t>,</w:t>
      </w:r>
      <w:r>
        <w:t xml:space="preserve"> Dr</w:t>
      </w:r>
      <w:r w:rsidR="00ED6F6F">
        <w:t xml:space="preserve"> Adela</w:t>
      </w:r>
      <w:r>
        <w:t xml:space="preserve"> Sobotkova</w:t>
      </w:r>
      <w:r w:rsidR="00ED6F6F">
        <w:t>, F</w:t>
      </w:r>
      <w:r>
        <w:t xml:space="preserve">ederated </w:t>
      </w:r>
      <w:r w:rsidR="00ED6F6F">
        <w:t>A</w:t>
      </w:r>
      <w:r>
        <w:t xml:space="preserve">rchaeological </w:t>
      </w:r>
      <w:r w:rsidR="00ED6F6F">
        <w:t>I</w:t>
      </w:r>
      <w:r>
        <w:t xml:space="preserve">nformation </w:t>
      </w:r>
      <w:r w:rsidR="00ED6F6F">
        <w:t>M</w:t>
      </w:r>
      <w:r>
        <w:t xml:space="preserve">anagement </w:t>
      </w:r>
      <w:r w:rsidR="00ED6F6F">
        <w:t>S</w:t>
      </w:r>
      <w:r>
        <w:t>ystems</w:t>
      </w:r>
    </w:p>
    <w:p w14:paraId="51B303AA" w14:textId="78E990A4" w:rsidR="00ED6F6F" w:rsidRDefault="00EE7A6C" w:rsidP="00ED6F6F">
      <w:pPr>
        <w:pStyle w:val="ListParagraph"/>
        <w:numPr>
          <w:ilvl w:val="0"/>
          <w:numId w:val="5"/>
        </w:numPr>
      </w:pPr>
      <w:r>
        <w:t>A/Prof Steve Cassidy, Department</w:t>
      </w:r>
      <w:r w:rsidR="00ED6F6F">
        <w:t xml:space="preserve"> of Computing</w:t>
      </w:r>
    </w:p>
    <w:p w14:paraId="5BA07E27" w14:textId="6D38B667" w:rsidR="00ED6F6F" w:rsidRDefault="00EE7A6C" w:rsidP="00ED6F6F">
      <w:pPr>
        <w:pStyle w:val="ListParagraph"/>
        <w:numPr>
          <w:ilvl w:val="0"/>
          <w:numId w:val="5"/>
        </w:numPr>
      </w:pPr>
      <w:r>
        <w:t xml:space="preserve">Dr </w:t>
      </w:r>
      <w:r w:rsidR="00ED6F6F">
        <w:t xml:space="preserve">Mary Davies, Grant </w:t>
      </w:r>
      <w:proofErr w:type="spellStart"/>
      <w:r w:rsidR="00ED6F6F">
        <w:t>Sayer</w:t>
      </w:r>
      <w:proofErr w:type="spellEnd"/>
      <w:r w:rsidR="00ED6F6F">
        <w:t xml:space="preserve">, Noel </w:t>
      </w:r>
      <w:proofErr w:type="spellStart"/>
      <w:r w:rsidR="00ED6F6F">
        <w:t>Valenti</w:t>
      </w:r>
      <w:proofErr w:type="spellEnd"/>
      <w:r w:rsidR="00ED6F6F">
        <w:t>, I</w:t>
      </w:r>
      <w:r>
        <w:t xml:space="preserve">nformation </w:t>
      </w:r>
      <w:r w:rsidR="00ED6F6F">
        <w:t>T</w:t>
      </w:r>
      <w:r>
        <w:t>echnology</w:t>
      </w:r>
    </w:p>
    <w:p w14:paraId="37147F80" w14:textId="1F93136A" w:rsidR="00ED6F6F" w:rsidRDefault="00ED6F6F" w:rsidP="00ED6F6F">
      <w:pPr>
        <w:pStyle w:val="ListParagraph"/>
        <w:numPr>
          <w:ilvl w:val="0"/>
          <w:numId w:val="5"/>
        </w:numPr>
      </w:pPr>
      <w:r>
        <w:t>JoAnne Spa</w:t>
      </w:r>
      <w:r w:rsidR="004645B6">
        <w:t>r</w:t>
      </w:r>
      <w:r>
        <w:t xml:space="preserve">ks, Vladimir </w:t>
      </w:r>
      <w:proofErr w:type="spellStart"/>
      <w:r>
        <w:t>Bubalo</w:t>
      </w:r>
      <w:proofErr w:type="spellEnd"/>
      <w:r>
        <w:t xml:space="preserve">, Fiona Burton, </w:t>
      </w:r>
      <w:r w:rsidR="004645B6">
        <w:t xml:space="preserve">University </w:t>
      </w:r>
      <w:r>
        <w:t>Library</w:t>
      </w:r>
    </w:p>
    <w:p w14:paraId="286C2978" w14:textId="690798B8" w:rsidR="002D275C" w:rsidRDefault="004645B6" w:rsidP="00ED6F6F">
      <w:pPr>
        <w:pStyle w:val="ListParagraph"/>
        <w:numPr>
          <w:ilvl w:val="0"/>
          <w:numId w:val="5"/>
        </w:numPr>
      </w:pPr>
      <w:r>
        <w:lastRenderedPageBreak/>
        <w:t xml:space="preserve">Prof </w:t>
      </w:r>
      <w:r w:rsidR="002D275C">
        <w:t>Jo</w:t>
      </w:r>
      <w:r>
        <w:t>h</w:t>
      </w:r>
      <w:r w:rsidR="002D275C">
        <w:t>anna Westbrook,</w:t>
      </w:r>
      <w:r>
        <w:t xml:space="preserve"> Prof</w:t>
      </w:r>
      <w:r w:rsidR="002D275C">
        <w:t xml:space="preserve"> Jeffrey Braithwaite and </w:t>
      </w:r>
      <w:r>
        <w:t xml:space="preserve">Prof </w:t>
      </w:r>
      <w:r w:rsidR="002D275C">
        <w:t xml:space="preserve">Enrico </w:t>
      </w:r>
      <w:proofErr w:type="spellStart"/>
      <w:r w:rsidR="002D275C">
        <w:t>Coeria</w:t>
      </w:r>
      <w:proofErr w:type="spellEnd"/>
      <w:r>
        <w:t>, Australian Institute of Health Innovation</w:t>
      </w:r>
    </w:p>
    <w:p w14:paraId="587F9D82" w14:textId="21E4038F" w:rsidR="002D275C" w:rsidRDefault="002D275C" w:rsidP="001156AA">
      <w:pPr>
        <w:pStyle w:val="ListParagraph"/>
        <w:numPr>
          <w:ilvl w:val="0"/>
          <w:numId w:val="5"/>
        </w:numPr>
      </w:pPr>
      <w:r>
        <w:t xml:space="preserve">Dr Josh </w:t>
      </w:r>
      <w:proofErr w:type="spellStart"/>
      <w:r>
        <w:t>Madin</w:t>
      </w:r>
      <w:proofErr w:type="spellEnd"/>
      <w:r>
        <w:t xml:space="preserve">, </w:t>
      </w:r>
      <w:r w:rsidR="004645B6">
        <w:t>Department of Biology</w:t>
      </w:r>
    </w:p>
    <w:p w14:paraId="32CA77EB" w14:textId="612BAA4F" w:rsidR="002D275C" w:rsidRDefault="00B376DA" w:rsidP="001156AA">
      <w:pPr>
        <w:pStyle w:val="ListParagraph"/>
        <w:numPr>
          <w:ilvl w:val="0"/>
          <w:numId w:val="5"/>
        </w:numPr>
      </w:pPr>
      <w:r>
        <w:t>Faculty A</w:t>
      </w:r>
      <w:r w:rsidR="002D275C">
        <w:t xml:space="preserve">ssociate </w:t>
      </w:r>
      <w:r>
        <w:t>D</w:t>
      </w:r>
      <w:r w:rsidR="009C47C7">
        <w:t>eans,</w:t>
      </w:r>
      <w:r w:rsidR="002D275C">
        <w:t xml:space="preserve"> </w:t>
      </w:r>
      <w:r>
        <w:t>R</w:t>
      </w:r>
      <w:r w:rsidR="002D275C">
        <w:t>esearch</w:t>
      </w:r>
    </w:p>
    <w:p w14:paraId="1C67373C" w14:textId="7C629A06" w:rsidR="002D275C" w:rsidRDefault="002D275C" w:rsidP="001156AA">
      <w:pPr>
        <w:pStyle w:val="ListParagraph"/>
        <w:numPr>
          <w:ilvl w:val="0"/>
          <w:numId w:val="5"/>
        </w:numPr>
      </w:pPr>
      <w:r>
        <w:t xml:space="preserve">Faculty Associate </w:t>
      </w:r>
      <w:r w:rsidR="00B376DA">
        <w:t>D</w:t>
      </w:r>
      <w:r w:rsidR="009C47C7">
        <w:t xml:space="preserve">eans, </w:t>
      </w:r>
      <w:r w:rsidR="00B376DA">
        <w:t>H</w:t>
      </w:r>
      <w:r>
        <w:t xml:space="preserve">igher </w:t>
      </w:r>
      <w:r w:rsidR="00B376DA">
        <w:t>D</w:t>
      </w:r>
      <w:r>
        <w:t xml:space="preserve">egree </w:t>
      </w:r>
      <w:r w:rsidR="00B376DA">
        <w:t>R</w:t>
      </w:r>
      <w:r>
        <w:t>e</w:t>
      </w:r>
      <w:r w:rsidR="00B376DA">
        <w:t>s</w:t>
      </w:r>
      <w:r>
        <w:t>earch</w:t>
      </w:r>
    </w:p>
    <w:p w14:paraId="3EBEA980" w14:textId="77777777" w:rsidR="00ED6F6F" w:rsidRDefault="00B376DA" w:rsidP="001156AA">
      <w:pPr>
        <w:pStyle w:val="ListParagraph"/>
        <w:numPr>
          <w:ilvl w:val="0"/>
          <w:numId w:val="5"/>
        </w:numPr>
      </w:pPr>
      <w:r>
        <w:t>F</w:t>
      </w:r>
      <w:r w:rsidR="002D275C">
        <w:t xml:space="preserve">aculty </w:t>
      </w:r>
      <w:r>
        <w:t>R</w:t>
      </w:r>
      <w:r w:rsidR="002D275C">
        <w:t xml:space="preserve">esearch </w:t>
      </w:r>
      <w:r>
        <w:t>M</w:t>
      </w:r>
      <w:r w:rsidR="002D275C">
        <w:t>anager</w:t>
      </w:r>
      <w:r>
        <w:t xml:space="preserve">s </w:t>
      </w:r>
    </w:p>
    <w:p w14:paraId="33796FE3" w14:textId="133E5E53" w:rsidR="002D275C" w:rsidRDefault="002D275C" w:rsidP="002D275C">
      <w:r>
        <w:t xml:space="preserve">In addition to these meetings </w:t>
      </w:r>
      <w:r w:rsidR="004645B6">
        <w:t xml:space="preserve">the </w:t>
      </w:r>
      <w:r>
        <w:t xml:space="preserve">informal </w:t>
      </w:r>
      <w:proofErr w:type="spellStart"/>
      <w:r>
        <w:t>eResearch</w:t>
      </w:r>
      <w:proofErr w:type="spellEnd"/>
      <w:r>
        <w:t xml:space="preserve"> Group, established by </w:t>
      </w:r>
      <w:r w:rsidR="004645B6">
        <w:t>University Librar</w:t>
      </w:r>
      <w:r w:rsidR="00C25497">
        <w:t>ian</w:t>
      </w:r>
      <w:r w:rsidR="004645B6">
        <w:t xml:space="preserve"> JoAnne Sparks</w:t>
      </w:r>
      <w:r>
        <w:t xml:space="preserve"> in 2014</w:t>
      </w:r>
      <w:r w:rsidR="004645B6">
        <w:t xml:space="preserve">, has met monthly to discuss current </w:t>
      </w:r>
      <w:proofErr w:type="spellStart"/>
      <w:r w:rsidR="004645B6">
        <w:t>eResearch</w:t>
      </w:r>
      <w:proofErr w:type="spellEnd"/>
      <w:r w:rsidR="004645B6">
        <w:t xml:space="preserve"> activity and concerns</w:t>
      </w:r>
      <w:r>
        <w:t xml:space="preserve">. Members </w:t>
      </w:r>
      <w:r w:rsidR="004645B6">
        <w:t xml:space="preserve">of this informal group </w:t>
      </w:r>
      <w:r>
        <w:t>include staff from the Library, Research Office, I</w:t>
      </w:r>
      <w:r w:rsidR="004645B6">
        <w:t xml:space="preserve">nformation </w:t>
      </w:r>
      <w:r>
        <w:t>T</w:t>
      </w:r>
      <w:r w:rsidR="004645B6">
        <w:t>echnology</w:t>
      </w:r>
      <w:r>
        <w:t>, DVCR Office and Faculties, some of whom are</w:t>
      </w:r>
      <w:r w:rsidR="004645B6">
        <w:t xml:space="preserve"> also</w:t>
      </w:r>
      <w:r>
        <w:t xml:space="preserve"> named above.</w:t>
      </w:r>
    </w:p>
    <w:p w14:paraId="57CFFD31" w14:textId="77777777" w:rsidR="00ED6F6F" w:rsidRDefault="00ED6F6F" w:rsidP="001156AA"/>
    <w:p w14:paraId="1CF03B58" w14:textId="77777777" w:rsidR="00464A08" w:rsidRDefault="00464A08">
      <w:pPr>
        <w:rPr>
          <w:b/>
        </w:rPr>
      </w:pPr>
      <w:r>
        <w:rPr>
          <w:b/>
        </w:rPr>
        <w:br w:type="page"/>
      </w:r>
    </w:p>
    <w:p w14:paraId="36C8F55E" w14:textId="7ABC17F6" w:rsidR="008E1033" w:rsidRPr="00464A08" w:rsidRDefault="00C23C8E" w:rsidP="008E1033">
      <w:pPr>
        <w:pStyle w:val="ListParagraph"/>
        <w:numPr>
          <w:ilvl w:val="0"/>
          <w:numId w:val="8"/>
        </w:numPr>
        <w:rPr>
          <w:b/>
          <w:sz w:val="26"/>
          <w:szCs w:val="26"/>
        </w:rPr>
      </w:pPr>
      <w:r w:rsidRPr="00464A08">
        <w:rPr>
          <w:b/>
          <w:sz w:val="26"/>
          <w:szCs w:val="26"/>
        </w:rPr>
        <w:lastRenderedPageBreak/>
        <w:t>FINDINGS</w:t>
      </w:r>
    </w:p>
    <w:p w14:paraId="5679EAFE" w14:textId="77777777" w:rsidR="008E1033" w:rsidRDefault="008E1033" w:rsidP="008E1033">
      <w:pPr>
        <w:pStyle w:val="ListParagraph"/>
        <w:rPr>
          <w:b/>
        </w:rPr>
      </w:pPr>
    </w:p>
    <w:p w14:paraId="1E38F5EE" w14:textId="77777777" w:rsidR="008E1033" w:rsidRPr="00464A08" w:rsidRDefault="008E1033" w:rsidP="00EF6870">
      <w:pPr>
        <w:rPr>
          <w:b/>
          <w:sz w:val="24"/>
          <w:szCs w:val="24"/>
        </w:rPr>
      </w:pPr>
      <w:r w:rsidRPr="00464A08">
        <w:rPr>
          <w:b/>
          <w:sz w:val="24"/>
          <w:szCs w:val="24"/>
        </w:rPr>
        <w:t xml:space="preserve">5.1 The National and International </w:t>
      </w:r>
      <w:proofErr w:type="spellStart"/>
      <w:r w:rsidRPr="00464A08">
        <w:rPr>
          <w:b/>
          <w:sz w:val="24"/>
          <w:szCs w:val="24"/>
        </w:rPr>
        <w:t>eResearch</w:t>
      </w:r>
      <w:proofErr w:type="spellEnd"/>
      <w:r w:rsidRPr="00464A08">
        <w:rPr>
          <w:b/>
          <w:sz w:val="24"/>
          <w:szCs w:val="24"/>
        </w:rPr>
        <w:t xml:space="preserve"> Landscape</w:t>
      </w:r>
    </w:p>
    <w:p w14:paraId="4E32D587" w14:textId="77777777" w:rsidR="00B34321" w:rsidRDefault="00B34321" w:rsidP="00040BBB">
      <w:pPr>
        <w:rPr>
          <w:i/>
          <w:sz w:val="24"/>
          <w:szCs w:val="24"/>
        </w:rPr>
      </w:pPr>
    </w:p>
    <w:p w14:paraId="074B3E98" w14:textId="3AAFDC26" w:rsidR="00040BBB" w:rsidRPr="00464A08" w:rsidRDefault="00040BBB" w:rsidP="00040BBB">
      <w:pPr>
        <w:rPr>
          <w:i/>
          <w:sz w:val="24"/>
          <w:szCs w:val="24"/>
        </w:rPr>
      </w:pPr>
      <w:r w:rsidRPr="00464A08">
        <w:rPr>
          <w:i/>
          <w:sz w:val="24"/>
          <w:szCs w:val="24"/>
        </w:rPr>
        <w:t>5.1</w:t>
      </w:r>
      <w:proofErr w:type="gramStart"/>
      <w:r w:rsidRPr="00464A08">
        <w:rPr>
          <w:i/>
          <w:sz w:val="24"/>
          <w:szCs w:val="24"/>
        </w:rPr>
        <w:t>.a</w:t>
      </w:r>
      <w:proofErr w:type="gramEnd"/>
      <w:r w:rsidRPr="00464A08">
        <w:rPr>
          <w:i/>
          <w:sz w:val="24"/>
          <w:szCs w:val="24"/>
        </w:rPr>
        <w:t xml:space="preserve"> Government</w:t>
      </w:r>
      <w:r w:rsidR="00EF6ED6" w:rsidRPr="00464A08">
        <w:rPr>
          <w:i/>
          <w:sz w:val="24"/>
          <w:szCs w:val="24"/>
        </w:rPr>
        <w:t xml:space="preserve"> </w:t>
      </w:r>
      <w:proofErr w:type="spellStart"/>
      <w:r w:rsidR="00EF6ED6" w:rsidRPr="00464A08">
        <w:rPr>
          <w:i/>
          <w:sz w:val="24"/>
          <w:szCs w:val="24"/>
        </w:rPr>
        <w:t>eResearch</w:t>
      </w:r>
      <w:proofErr w:type="spellEnd"/>
      <w:r w:rsidR="00EF6ED6" w:rsidRPr="00464A08">
        <w:rPr>
          <w:i/>
          <w:sz w:val="24"/>
          <w:szCs w:val="24"/>
        </w:rPr>
        <w:t xml:space="preserve"> infrastructure</w:t>
      </w:r>
      <w:r w:rsidRPr="00464A08">
        <w:rPr>
          <w:i/>
          <w:sz w:val="24"/>
          <w:szCs w:val="24"/>
        </w:rPr>
        <w:t xml:space="preserve"> investment and strategy</w:t>
      </w:r>
    </w:p>
    <w:p w14:paraId="6CACFFCB" w14:textId="77777777" w:rsidR="00040BBB" w:rsidRPr="00464A08" w:rsidRDefault="00040BBB" w:rsidP="00040BBB">
      <w:pPr>
        <w:pStyle w:val="ListParagraph"/>
        <w:numPr>
          <w:ilvl w:val="0"/>
          <w:numId w:val="18"/>
        </w:numPr>
        <w:rPr>
          <w:i/>
          <w:sz w:val="24"/>
          <w:szCs w:val="24"/>
        </w:rPr>
      </w:pPr>
      <w:r w:rsidRPr="00464A08">
        <w:rPr>
          <w:i/>
          <w:sz w:val="24"/>
          <w:szCs w:val="24"/>
        </w:rPr>
        <w:t>Australia</w:t>
      </w:r>
    </w:p>
    <w:p w14:paraId="43DDFFE3" w14:textId="4A529CC9" w:rsidR="00040BBB" w:rsidRDefault="00040BBB" w:rsidP="00040BBB">
      <w:pPr>
        <w:spacing w:after="0" w:line="240" w:lineRule="auto"/>
      </w:pPr>
      <w:r>
        <w:t xml:space="preserve">In Australia the </w:t>
      </w:r>
      <w:r w:rsidRPr="008D643A">
        <w:rPr>
          <w:rFonts w:eastAsia="Times New Roman" w:cs="Arial"/>
          <w:lang w:eastAsia="en-AU"/>
        </w:rPr>
        <w:t>National Collaborative Research Infrastructure Strategy (NCRIS)</w:t>
      </w:r>
      <w:r>
        <w:rPr>
          <w:rFonts w:eastAsia="Times New Roman" w:cs="Arial"/>
          <w:lang w:eastAsia="en-AU"/>
        </w:rPr>
        <w:t xml:space="preserve"> </w:t>
      </w:r>
      <w:r w:rsidR="002B1DDB">
        <w:rPr>
          <w:rFonts w:eastAsia="Times New Roman" w:cs="Arial"/>
          <w:lang w:eastAsia="en-AU"/>
        </w:rPr>
        <w:t xml:space="preserve">is funded by the Australian Government to </w:t>
      </w:r>
      <w:r>
        <w:rPr>
          <w:rFonts w:eastAsia="Times New Roman" w:cs="Arial"/>
          <w:lang w:eastAsia="en-AU"/>
        </w:rPr>
        <w:t xml:space="preserve">support the growth of national </w:t>
      </w:r>
      <w:proofErr w:type="spellStart"/>
      <w:r>
        <w:rPr>
          <w:rFonts w:eastAsia="Times New Roman" w:cs="Arial"/>
          <w:lang w:eastAsia="en-AU"/>
        </w:rPr>
        <w:t>eResearch</w:t>
      </w:r>
      <w:proofErr w:type="spellEnd"/>
      <w:r>
        <w:rPr>
          <w:rFonts w:eastAsia="Times New Roman" w:cs="Arial"/>
          <w:lang w:eastAsia="en-AU"/>
        </w:rPr>
        <w:t xml:space="preserve"> capacity. NCRIS</w:t>
      </w:r>
      <w:r w:rsidRPr="008D643A">
        <w:rPr>
          <w:rFonts w:eastAsia="Times New Roman" w:cs="Arial"/>
          <w:lang w:eastAsia="en-AU"/>
        </w:rPr>
        <w:t xml:space="preserve"> provide</w:t>
      </w:r>
      <w:r w:rsidR="002B1DDB">
        <w:rPr>
          <w:rFonts w:eastAsia="Times New Roman" w:cs="Arial"/>
          <w:lang w:eastAsia="en-AU"/>
        </w:rPr>
        <w:t>s</w:t>
      </w:r>
      <w:r w:rsidRPr="008D643A">
        <w:rPr>
          <w:rFonts w:eastAsia="Times New Roman" w:cs="Arial"/>
          <w:lang w:eastAsia="en-AU"/>
        </w:rPr>
        <w:t xml:space="preserve"> a national approac</w:t>
      </w:r>
      <w:r>
        <w:rPr>
          <w:rFonts w:eastAsia="Times New Roman" w:cs="Arial"/>
          <w:lang w:eastAsia="en-AU"/>
        </w:rPr>
        <w:t>h to investment, funding</w:t>
      </w:r>
      <w:r w:rsidRPr="008D643A">
        <w:rPr>
          <w:rFonts w:eastAsia="Times New Roman" w:cs="Arial"/>
          <w:lang w:eastAsia="en-AU"/>
        </w:rPr>
        <w:t xml:space="preserve"> research infrastructure t</w:t>
      </w:r>
      <w:r>
        <w:rPr>
          <w:rFonts w:eastAsia="Times New Roman" w:cs="Arial"/>
          <w:lang w:eastAsia="en-AU"/>
        </w:rPr>
        <w:t>hat</w:t>
      </w:r>
      <w:r w:rsidRPr="008D643A">
        <w:rPr>
          <w:rFonts w:eastAsia="Times New Roman" w:cs="Arial"/>
          <w:lang w:eastAsia="en-AU"/>
        </w:rPr>
        <w:t xml:space="preserve"> support</w:t>
      </w:r>
      <w:r>
        <w:rPr>
          <w:rFonts w:eastAsia="Times New Roman" w:cs="Arial"/>
          <w:lang w:eastAsia="en-AU"/>
        </w:rPr>
        <w:t>s</w:t>
      </w:r>
      <w:r w:rsidRPr="008D643A">
        <w:rPr>
          <w:rFonts w:eastAsia="Times New Roman" w:cs="Arial"/>
          <w:lang w:eastAsia="en-AU"/>
        </w:rPr>
        <w:t xml:space="preserve"> Australian research and Australian research collaborations world</w:t>
      </w:r>
      <w:r w:rsidR="002B1DDB">
        <w:rPr>
          <w:rFonts w:eastAsia="Times New Roman" w:cs="Arial"/>
          <w:lang w:eastAsia="en-AU"/>
        </w:rPr>
        <w:t>-wide. This infrastructure</w:t>
      </w:r>
      <w:r w:rsidRPr="003B16AB">
        <w:rPr>
          <w:rFonts w:eastAsia="Times New Roman" w:cs="Arial"/>
          <w:lang w:eastAsia="en-AU"/>
        </w:rPr>
        <w:t xml:space="preserve"> </w:t>
      </w:r>
      <w:r>
        <w:rPr>
          <w:rFonts w:eastAsia="Times New Roman" w:cs="Arial"/>
          <w:lang w:eastAsia="en-AU"/>
        </w:rPr>
        <w:t>is intended to</w:t>
      </w:r>
      <w:r w:rsidRPr="003B16AB">
        <w:rPr>
          <w:rFonts w:eastAsia="Times New Roman" w:cs="Arial"/>
          <w:lang w:eastAsia="en-AU"/>
        </w:rPr>
        <w:t xml:space="preserve"> serve the </w:t>
      </w:r>
      <w:r>
        <w:rPr>
          <w:rFonts w:eastAsia="Times New Roman" w:cs="Arial"/>
          <w:lang w:eastAsia="en-AU"/>
        </w:rPr>
        <w:t xml:space="preserve">Australian </w:t>
      </w:r>
      <w:r w:rsidRPr="003B16AB">
        <w:rPr>
          <w:rFonts w:eastAsia="Times New Roman" w:cs="Arial"/>
          <w:lang w:eastAsia="en-AU"/>
        </w:rPr>
        <w:t>research and innovation system broadly</w:t>
      </w:r>
      <w:r>
        <w:rPr>
          <w:rFonts w:eastAsia="Times New Roman" w:cs="Arial"/>
          <w:lang w:eastAsia="en-AU"/>
        </w:rPr>
        <w:t>.</w:t>
      </w:r>
      <w:r w:rsidR="000A498B">
        <w:rPr>
          <w:rFonts w:eastAsia="Times New Roman" w:cs="Arial"/>
          <w:lang w:eastAsia="en-AU"/>
        </w:rPr>
        <w:t xml:space="preserve"> The 2015 Cochran review</w:t>
      </w:r>
      <w:r w:rsidR="00723774">
        <w:rPr>
          <w:rFonts w:eastAsia="Times New Roman" w:cs="Arial"/>
          <w:lang w:eastAsia="en-AU"/>
        </w:rPr>
        <w:t>, the</w:t>
      </w:r>
      <w:r w:rsidR="00723774" w:rsidRPr="00723774">
        <w:rPr>
          <w:rFonts w:eastAsia="Times New Roman" w:cs="Arial"/>
          <w:i/>
          <w:lang w:eastAsia="en-AU"/>
        </w:rPr>
        <w:t xml:space="preserve"> Status Report on the NCRIS </w:t>
      </w:r>
      <w:proofErr w:type="spellStart"/>
      <w:r w:rsidR="00723774" w:rsidRPr="00723774">
        <w:rPr>
          <w:rFonts w:eastAsia="Times New Roman" w:cs="Arial"/>
          <w:i/>
          <w:lang w:eastAsia="en-AU"/>
        </w:rPr>
        <w:t>eResearch</w:t>
      </w:r>
      <w:proofErr w:type="spellEnd"/>
      <w:r w:rsidR="00723774" w:rsidRPr="00723774">
        <w:rPr>
          <w:rFonts w:eastAsia="Times New Roman" w:cs="Arial"/>
          <w:i/>
          <w:lang w:eastAsia="en-AU"/>
        </w:rPr>
        <w:t xml:space="preserve"> Capability</w:t>
      </w:r>
      <w:r w:rsidR="00723774">
        <w:rPr>
          <w:rFonts w:eastAsia="Times New Roman" w:cs="Arial"/>
          <w:i/>
          <w:lang w:eastAsia="en-AU"/>
        </w:rPr>
        <w:t xml:space="preserve">, </w:t>
      </w:r>
      <w:r w:rsidR="000A498B">
        <w:rPr>
          <w:rFonts w:eastAsia="Times New Roman" w:cs="Arial"/>
          <w:lang w:eastAsia="en-AU"/>
        </w:rPr>
        <w:t>highlighted</w:t>
      </w:r>
      <w:r w:rsidR="00345EAF">
        <w:rPr>
          <w:rFonts w:eastAsia="Times New Roman" w:cs="Arial"/>
          <w:lang w:eastAsia="en-AU"/>
        </w:rPr>
        <w:t xml:space="preserve"> </w:t>
      </w:r>
      <w:r>
        <w:rPr>
          <w:rFonts w:eastAsia="Times New Roman" w:cs="Arial"/>
          <w:lang w:eastAsia="en-AU"/>
        </w:rPr>
        <w:t xml:space="preserve">NCRIS-funded services such as the </w:t>
      </w:r>
      <w:r>
        <w:t>Australian National Data Service (ANDS) and the Austral</w:t>
      </w:r>
      <w:r w:rsidR="000A498B">
        <w:t xml:space="preserve">ian Access Federation (AAF) </w:t>
      </w:r>
      <w:r>
        <w:t>as leading the rest of the world in their approaches to data and federated access</w:t>
      </w:r>
      <w:r w:rsidR="00345EAF">
        <w:t xml:space="preserve"> (2015)</w:t>
      </w:r>
      <w:r>
        <w:t xml:space="preserve">. Among other major services under the NCRIS banner are the National Computational Infrastructure (NCI) facility, the </w:t>
      </w:r>
      <w:proofErr w:type="spellStart"/>
      <w:r>
        <w:t>Pawsey</w:t>
      </w:r>
      <w:proofErr w:type="spellEnd"/>
      <w:r>
        <w:t xml:space="preserve"> Supercomputing Centre</w:t>
      </w:r>
      <w:r>
        <w:rPr>
          <w:rFonts w:eastAsia="Times New Roman" w:cs="Arial"/>
          <w:lang w:eastAsia="en-AU"/>
        </w:rPr>
        <w:t xml:space="preserve"> and National </w:t>
      </w:r>
      <w:proofErr w:type="spellStart"/>
      <w:r>
        <w:rPr>
          <w:rFonts w:eastAsia="Times New Roman" w:cs="Arial"/>
          <w:lang w:eastAsia="en-AU"/>
        </w:rPr>
        <w:t>eResearch</w:t>
      </w:r>
      <w:proofErr w:type="spellEnd"/>
      <w:r>
        <w:rPr>
          <w:rFonts w:eastAsia="Times New Roman" w:cs="Arial"/>
          <w:lang w:eastAsia="en-AU"/>
        </w:rPr>
        <w:t xml:space="preserve"> Collaboration Tools and Resources (</w:t>
      </w:r>
      <w:proofErr w:type="spellStart"/>
      <w:r>
        <w:rPr>
          <w:rFonts w:eastAsia="Times New Roman" w:cs="Arial"/>
          <w:lang w:eastAsia="en-AU"/>
        </w:rPr>
        <w:t>NeCTAR</w:t>
      </w:r>
      <w:proofErr w:type="spellEnd"/>
      <w:r>
        <w:rPr>
          <w:rFonts w:eastAsia="Times New Roman" w:cs="Arial"/>
          <w:lang w:eastAsia="en-AU"/>
        </w:rPr>
        <w:t xml:space="preserve">). </w:t>
      </w:r>
    </w:p>
    <w:p w14:paraId="36AE8C18" w14:textId="77777777" w:rsidR="00040BBB" w:rsidRDefault="00040BBB" w:rsidP="00040BBB">
      <w:pPr>
        <w:spacing w:after="0" w:line="240" w:lineRule="auto"/>
      </w:pPr>
    </w:p>
    <w:p w14:paraId="61414C62" w14:textId="695028E6" w:rsidR="00040BBB" w:rsidRDefault="00DE4363" w:rsidP="00040BBB">
      <w:r>
        <w:t>A Research Infrastructure Review</w:t>
      </w:r>
      <w:r w:rsidR="00F72EBA">
        <w:t>, led by J P Morgan Advisory Council member Philip Clark AM,</w:t>
      </w:r>
      <w:r>
        <w:t xml:space="preserve"> </w:t>
      </w:r>
      <w:r w:rsidR="00040BBB">
        <w:t xml:space="preserve">was </w:t>
      </w:r>
      <w:r>
        <w:t>established</w:t>
      </w:r>
      <w:r w:rsidR="00040BBB">
        <w:t xml:space="preserve"> </w:t>
      </w:r>
      <w:r>
        <w:t xml:space="preserve">by the Australian Government </w:t>
      </w:r>
      <w:r w:rsidR="00040BBB">
        <w:t xml:space="preserve">in 2014. </w:t>
      </w:r>
      <w:r w:rsidR="00062EC2">
        <w:t>A</w:t>
      </w:r>
      <w:r>
        <w:t xml:space="preserve">t a recent </w:t>
      </w:r>
      <w:proofErr w:type="spellStart"/>
      <w:r>
        <w:t>eResearch</w:t>
      </w:r>
      <w:proofErr w:type="spellEnd"/>
      <w:r>
        <w:t xml:space="preserve"> Australasia conference </w:t>
      </w:r>
      <w:r w:rsidR="00F72EBA">
        <w:t>Clark</w:t>
      </w:r>
      <w:r>
        <w:t xml:space="preserve"> </w:t>
      </w:r>
      <w:r w:rsidR="00723774">
        <w:t xml:space="preserve">is reported to have </w:t>
      </w:r>
      <w:r>
        <w:t xml:space="preserve">suggested there will be increasing emphasis </w:t>
      </w:r>
      <w:r w:rsidR="00F72EBA">
        <w:t>on building human capability in the field, highlighting that ‘infrastructure requires both physical and human elements</w:t>
      </w:r>
      <w:r w:rsidR="000A498B">
        <w:t>’</w:t>
      </w:r>
      <w:r w:rsidR="00F72EBA">
        <w:t xml:space="preserve"> (</w:t>
      </w:r>
      <w:r w:rsidR="00723774" w:rsidRPr="00542EFD">
        <w:t>Reid, 2015</w:t>
      </w:r>
      <w:r w:rsidR="00723774">
        <w:t>)</w:t>
      </w:r>
      <w:r>
        <w:t>.</w:t>
      </w:r>
      <w:r w:rsidR="001C7E59">
        <w:t xml:space="preserve"> </w:t>
      </w:r>
      <w:r w:rsidR="001C7E59">
        <w:t>While the results of the</w:t>
      </w:r>
      <w:r w:rsidR="001C7E59">
        <w:t xml:space="preserve"> Clark</w:t>
      </w:r>
      <w:r w:rsidR="001C7E59">
        <w:t xml:space="preserve"> review have not yet been made available, the government </w:t>
      </w:r>
      <w:r w:rsidR="001C7E59" w:rsidRPr="00E27CE4">
        <w:t>has</w:t>
      </w:r>
      <w:r w:rsidR="001C7E59">
        <w:t xml:space="preserve">, in its National Innovation and Science Agenda, </w:t>
      </w:r>
      <w:r w:rsidR="001C7E59" w:rsidRPr="00E27CE4">
        <w:t xml:space="preserve">committed $1.5 billion for NCRIS over the next decade </w:t>
      </w:r>
      <w:r w:rsidR="001C7E59">
        <w:t>and has announced that</w:t>
      </w:r>
      <w:bookmarkStart w:id="0" w:name="_GoBack"/>
      <w:bookmarkEnd w:id="0"/>
      <w:r w:rsidR="001C7E59">
        <w:t xml:space="preserve"> Australia’s Chief Scientist will in 2016 “undertake a process to identify national research infrastructure capability needs to inform where funding is required in future years” (Commonwealth of Australia, 2015, p). </w:t>
      </w:r>
      <w:r w:rsidR="00F72EBA">
        <w:t xml:space="preserve">The </w:t>
      </w:r>
      <w:r w:rsidR="00F72EBA" w:rsidRPr="00723774">
        <w:rPr>
          <w:i/>
        </w:rPr>
        <w:t xml:space="preserve">Status Report on the NCRIS </w:t>
      </w:r>
      <w:proofErr w:type="spellStart"/>
      <w:r w:rsidR="00F72EBA" w:rsidRPr="00723774">
        <w:rPr>
          <w:i/>
        </w:rPr>
        <w:t>eResearch</w:t>
      </w:r>
      <w:proofErr w:type="spellEnd"/>
      <w:r w:rsidR="00F72EBA" w:rsidRPr="00723774">
        <w:rPr>
          <w:i/>
        </w:rPr>
        <w:t xml:space="preserve"> Capability</w:t>
      </w:r>
      <w:r w:rsidR="00F72EBA">
        <w:t xml:space="preserve"> indicates there is general concern in the Australian resea</w:t>
      </w:r>
      <w:r w:rsidR="0042422F">
        <w:t>rch community with Australia’s ‘</w:t>
      </w:r>
      <w:r w:rsidR="00F72EBA">
        <w:t>overall level of investment in HPC</w:t>
      </w:r>
      <w:r w:rsidR="00F72EBA">
        <w:rPr>
          <w:rStyle w:val="FootnoteReference"/>
        </w:rPr>
        <w:footnoteReference w:id="3"/>
      </w:r>
      <w:r w:rsidR="00F72EBA">
        <w:t xml:space="preserve"> capability at bo</w:t>
      </w:r>
      <w:r w:rsidR="0042422F">
        <w:t>th peak and institutional level’</w:t>
      </w:r>
      <w:r w:rsidR="00723774">
        <w:t xml:space="preserve"> (</w:t>
      </w:r>
      <w:r w:rsidR="00723774" w:rsidRPr="0042422F">
        <w:t>2015</w:t>
      </w:r>
      <w:r w:rsidR="00723774">
        <w:t>, p</w:t>
      </w:r>
      <w:r w:rsidR="0042422F">
        <w:t>7).</w:t>
      </w:r>
      <w:r w:rsidR="00F72EBA">
        <w:t xml:space="preserve"> It also highlights skills gaps and the need for clear career paths in these emerging fields if the demand for </w:t>
      </w:r>
      <w:proofErr w:type="spellStart"/>
      <w:r w:rsidR="00F72EBA">
        <w:t>eResearch</w:t>
      </w:r>
      <w:proofErr w:type="spellEnd"/>
      <w:r w:rsidR="00F72EBA">
        <w:t xml:space="preserve"> services is to be met in the future</w:t>
      </w:r>
      <w:r w:rsidR="0042422F">
        <w:t xml:space="preserve"> (p47)</w:t>
      </w:r>
      <w:r w:rsidR="00F72EBA">
        <w:t>.</w:t>
      </w:r>
    </w:p>
    <w:p w14:paraId="52D1CF52" w14:textId="0263829A" w:rsidR="00040BBB" w:rsidRDefault="00040BBB" w:rsidP="00040BBB">
      <w:r>
        <w:t xml:space="preserve">At a State level </w:t>
      </w:r>
      <w:proofErr w:type="spellStart"/>
      <w:r>
        <w:t>eResearch</w:t>
      </w:r>
      <w:proofErr w:type="spellEnd"/>
      <w:r>
        <w:t xml:space="preserve"> services and support have been provided by member-based organisations</w:t>
      </w:r>
      <w:r>
        <w:rPr>
          <w:rStyle w:val="FootnoteReference"/>
        </w:rPr>
        <w:footnoteReference w:id="4"/>
      </w:r>
      <w:r>
        <w:t xml:space="preserve">. In NSW Intersect has been the largest </w:t>
      </w:r>
      <w:r w:rsidR="00D3085E">
        <w:t xml:space="preserve">provider of </w:t>
      </w:r>
      <w:proofErr w:type="spellStart"/>
      <w:r w:rsidR="00D3085E">
        <w:t>eResearch</w:t>
      </w:r>
      <w:proofErr w:type="spellEnd"/>
      <w:r w:rsidR="00D3085E">
        <w:t xml:space="preserve"> services and </w:t>
      </w:r>
      <w:r>
        <w:t xml:space="preserve">operates on a </w:t>
      </w:r>
      <w:r w:rsidR="002B1DDB">
        <w:t>subscriber</w:t>
      </w:r>
      <w:r>
        <w:t xml:space="preserve"> membership model. Implicit inequities in such a model </w:t>
      </w:r>
      <w:r w:rsidR="002B1DDB">
        <w:t>ha</w:t>
      </w:r>
      <w:r w:rsidR="00F72EBA">
        <w:t>ve</w:t>
      </w:r>
      <w:r w:rsidR="002B1DDB">
        <w:t xml:space="preserve"> led to some dissatisfaction, with many members </w:t>
      </w:r>
      <w:r w:rsidR="005B10F2">
        <w:t>expressing preference for</w:t>
      </w:r>
      <w:r w:rsidR="002B1DDB">
        <w:t xml:space="preserve"> fee-for-service support. </w:t>
      </w:r>
      <w:r w:rsidR="00245258">
        <w:t xml:space="preserve">For this reason and due to concern surrounding the longer term viability of the Intersect, </w:t>
      </w:r>
      <w:r>
        <w:t xml:space="preserve">Macquarie University </w:t>
      </w:r>
      <w:r w:rsidR="00245258">
        <w:t xml:space="preserve">has </w:t>
      </w:r>
      <w:r>
        <w:t>recently terminated Intersect membership. At this time the future direction of external</w:t>
      </w:r>
      <w:r w:rsidR="00D3085E">
        <w:t xml:space="preserve"> </w:t>
      </w:r>
      <w:proofErr w:type="spellStart"/>
      <w:r w:rsidR="00D3085E">
        <w:t>eResearch</w:t>
      </w:r>
      <w:proofErr w:type="spellEnd"/>
      <w:r>
        <w:t xml:space="preserve"> service provision</w:t>
      </w:r>
      <w:r w:rsidR="002B1DDB">
        <w:t xml:space="preserve"> for Macquarie, and perhaps</w:t>
      </w:r>
      <w:r>
        <w:t xml:space="preserve"> in NSW</w:t>
      </w:r>
      <w:r w:rsidR="002B1DDB">
        <w:t>,</w:t>
      </w:r>
      <w:r>
        <w:t xml:space="preserve"> is uncertain. While some universities are well on their way to supporting their </w:t>
      </w:r>
      <w:proofErr w:type="spellStart"/>
      <w:r>
        <w:t>eResearch</w:t>
      </w:r>
      <w:proofErr w:type="spellEnd"/>
      <w:r>
        <w:t xml:space="preserve"> activities in-house, others such as Macquarie, </w:t>
      </w:r>
      <w:r w:rsidR="00245258">
        <w:t>are investigating avenues for developing and strengthening institutional capacity.</w:t>
      </w:r>
      <w:r>
        <w:t xml:space="preserve"> </w:t>
      </w:r>
      <w:r w:rsidR="00245258">
        <w:t xml:space="preserve">The IT </w:t>
      </w:r>
      <w:r w:rsidR="00644A32">
        <w:t>Unit</w:t>
      </w:r>
      <w:r w:rsidR="00245258">
        <w:t xml:space="preserve"> will drive a call-for-tender for data storage and HPC and have flagged plans to develop a </w:t>
      </w:r>
      <w:r w:rsidR="00245258" w:rsidRPr="00B208D2">
        <w:t xml:space="preserve">suite of </w:t>
      </w:r>
      <w:r w:rsidR="00245258" w:rsidRPr="00B208D2">
        <w:lastRenderedPageBreak/>
        <w:t>services</w:t>
      </w:r>
      <w:r w:rsidR="00245258">
        <w:t xml:space="preserve">. </w:t>
      </w:r>
      <w:r>
        <w:t xml:space="preserve">Where </w:t>
      </w:r>
      <w:r w:rsidR="00D3085E">
        <w:t xml:space="preserve">and how </w:t>
      </w:r>
      <w:r w:rsidR="00245258">
        <w:t>other</w:t>
      </w:r>
      <w:r w:rsidR="00D3085E">
        <w:t xml:space="preserve"> support</w:t>
      </w:r>
      <w:r w:rsidR="005B10F2">
        <w:t xml:space="preserve"> is provided and services are integrated a</w:t>
      </w:r>
      <w:r w:rsidR="00245258">
        <w:t>cross the University</w:t>
      </w:r>
      <w:r>
        <w:t xml:space="preserve"> is an </w:t>
      </w:r>
      <w:r w:rsidR="00245258">
        <w:t xml:space="preserve">important topic for discussion. </w:t>
      </w:r>
    </w:p>
    <w:p w14:paraId="560B6683" w14:textId="77777777" w:rsidR="00040BBB" w:rsidRPr="00C967AA" w:rsidRDefault="00040BBB" w:rsidP="00040BBB">
      <w:pPr>
        <w:pStyle w:val="ListParagraph"/>
        <w:numPr>
          <w:ilvl w:val="0"/>
          <w:numId w:val="17"/>
        </w:numPr>
        <w:rPr>
          <w:i/>
        </w:rPr>
      </w:pPr>
      <w:r w:rsidRPr="00C967AA">
        <w:rPr>
          <w:i/>
        </w:rPr>
        <w:t>International</w:t>
      </w:r>
    </w:p>
    <w:p w14:paraId="0E6894BF" w14:textId="69F80F3D" w:rsidR="00040BBB" w:rsidRDefault="00040BBB" w:rsidP="00040BBB">
      <w:r>
        <w:t>In Britain the e-Science Core program</w:t>
      </w:r>
      <w:r w:rsidR="00D3085E">
        <w:t xml:space="preserve"> initially</w:t>
      </w:r>
      <w:r>
        <w:t xml:space="preserve"> funded enabling</w:t>
      </w:r>
      <w:r w:rsidR="009E543C">
        <w:t xml:space="preserve"> infrastructure in the form of ‘</w:t>
      </w:r>
      <w:r>
        <w:t>distributed and heterogeneous com</w:t>
      </w:r>
      <w:r w:rsidR="00124222">
        <w:t>putational and data resources</w:t>
      </w:r>
      <w:r w:rsidR="009E543C">
        <w:t>’</w:t>
      </w:r>
      <w:r w:rsidR="00124222">
        <w:t xml:space="preserve"> known as the Grid, </w:t>
      </w:r>
      <w:r>
        <w:t xml:space="preserve">and large scale </w:t>
      </w:r>
      <w:proofErr w:type="spellStart"/>
      <w:r>
        <w:t>eResearch</w:t>
      </w:r>
      <w:proofErr w:type="spellEnd"/>
      <w:r>
        <w:t xml:space="preserve"> projects (</w:t>
      </w:r>
      <w:r w:rsidR="009E543C">
        <w:t xml:space="preserve">Hey &amp; </w:t>
      </w:r>
      <w:proofErr w:type="spellStart"/>
      <w:r w:rsidR="009E543C">
        <w:t>Trefethen</w:t>
      </w:r>
      <w:proofErr w:type="spellEnd"/>
      <w:r w:rsidR="009E543C">
        <w:t>, 2002)</w:t>
      </w:r>
      <w:r>
        <w:t xml:space="preserve">. In 2006 the funding model was restructured with funding for </w:t>
      </w:r>
      <w:proofErr w:type="spellStart"/>
      <w:r>
        <w:t>eResearch</w:t>
      </w:r>
      <w:proofErr w:type="spellEnd"/>
      <w:r>
        <w:t xml:space="preserve"> now distributed through funding councils and a member-based organisation, JISC (Joint Information Systems Committee). The Joint Information Systems Committee receives funding from all UK higher education providers and from funding councils to provide advice and digital resources, network connectivity, a shared data store facility and conduct research and development projects of benefit to the sector</w:t>
      </w:r>
      <w:r>
        <w:rPr>
          <w:rFonts w:ascii="Arial" w:hAnsi="Arial" w:cs="Arial"/>
          <w:color w:val="333333"/>
          <w:sz w:val="20"/>
          <w:szCs w:val="20"/>
          <w:lang w:val="en"/>
        </w:rPr>
        <w:t>.</w:t>
      </w:r>
    </w:p>
    <w:p w14:paraId="5D1F1F1A" w14:textId="751A40A6" w:rsidR="00040BBB" w:rsidRDefault="00040BBB" w:rsidP="00040BBB">
      <w:r>
        <w:t xml:space="preserve">The US National Science Foundation (NSF) Office of </w:t>
      </w:r>
      <w:proofErr w:type="spellStart"/>
      <w:r>
        <w:t>Cyberinfrastructure</w:t>
      </w:r>
      <w:proofErr w:type="spellEnd"/>
      <w:r>
        <w:t xml:space="preserve"> is the main strategic and funding body through which</w:t>
      </w:r>
      <w:r w:rsidR="00124222">
        <w:t xml:space="preserve"> US</w:t>
      </w:r>
      <w:r>
        <w:t xml:space="preserve"> developments have evolved. The NSF-funded </w:t>
      </w:r>
      <w:proofErr w:type="spellStart"/>
      <w:r>
        <w:t>TeraGrid</w:t>
      </w:r>
      <w:proofErr w:type="spellEnd"/>
      <w:r>
        <w:t xml:space="preserve"> project (now the XSEDE project</w:t>
      </w:r>
      <w:r>
        <w:rPr>
          <w:rStyle w:val="FootnoteReference"/>
        </w:rPr>
        <w:footnoteReference w:id="5"/>
      </w:r>
      <w:r>
        <w:t>) developed a grid system integrating resources and services between several US supercomputing centres. The NSF jointly funds the Open Science Grid with the US Department of Energy. At the core of this initiative, members of the Open Science Grid consortium (universities and national labs) are able to access compute and storage facilities across the county “at whatever resource is most available”, thus utilising resources that might otherwise have been idle (</w:t>
      </w:r>
      <w:r w:rsidR="003013C1">
        <w:t>opensciencegrid.org</w:t>
      </w:r>
      <w:hyperlink r:id="rId9" w:history="1"/>
      <w:r>
        <w:t xml:space="preserve">). The American Council of Learned Societies established the Commission on </w:t>
      </w:r>
      <w:proofErr w:type="spellStart"/>
      <w:r>
        <w:t>Cyberinfrastructure</w:t>
      </w:r>
      <w:proofErr w:type="spellEnd"/>
      <w:r>
        <w:t xml:space="preserve"> in the Humanities and Social Sciences, from which came the 2006 repor</w:t>
      </w:r>
      <w:r w:rsidR="003013C1">
        <w:t>t Our Cultural Commonwealth (ACLS, 2006</w:t>
      </w:r>
      <w:r>
        <w:t xml:space="preserve">). In the years since this report Digital Humanities has developed as a </w:t>
      </w:r>
      <w:r w:rsidRPr="009558D0">
        <w:t>practice</w:t>
      </w:r>
      <w:r w:rsidR="00D3085E">
        <w:t xml:space="preserve"> internationally</w:t>
      </w:r>
      <w:r w:rsidRPr="009558D0">
        <w:t xml:space="preserve"> </w:t>
      </w:r>
      <w:r w:rsidR="00D3085E">
        <w:t>(</w:t>
      </w:r>
      <w:r w:rsidRPr="009558D0">
        <w:t xml:space="preserve">and </w:t>
      </w:r>
      <w:r w:rsidR="00D3085E">
        <w:t xml:space="preserve">as </w:t>
      </w:r>
      <w:r w:rsidRPr="009558D0">
        <w:t>a field of research</w:t>
      </w:r>
      <w:r w:rsidR="00D3085E">
        <w:t xml:space="preserve"> in its own right)</w:t>
      </w:r>
      <w:r w:rsidRPr="009558D0">
        <w:t>, progressing</w:t>
      </w:r>
      <w:r w:rsidR="009558D0" w:rsidRPr="009558D0">
        <w:t>, amongst other things,</w:t>
      </w:r>
      <w:r w:rsidRPr="009558D0">
        <w:t xml:space="preserve"> digitisat</w:t>
      </w:r>
      <w:r w:rsidR="00124222" w:rsidRPr="009558D0">
        <w:t xml:space="preserve">ion, text analysis, </w:t>
      </w:r>
      <w:r w:rsidR="00D3085E">
        <w:t xml:space="preserve">data visualisation and </w:t>
      </w:r>
      <w:r w:rsidR="009558D0" w:rsidRPr="009558D0">
        <w:t xml:space="preserve">digital </w:t>
      </w:r>
      <w:r w:rsidR="00D3085E">
        <w:t>mapping</w:t>
      </w:r>
      <w:r w:rsidRPr="009558D0">
        <w:t>.</w:t>
      </w:r>
      <w:r>
        <w:t xml:space="preserve">  </w:t>
      </w:r>
    </w:p>
    <w:p w14:paraId="0DF91FBC" w14:textId="566F20CE" w:rsidR="00040BBB" w:rsidRDefault="00300469" w:rsidP="00040BBB">
      <w:r>
        <w:t>T</w:t>
      </w:r>
      <w:r w:rsidR="00124222">
        <w:t>he European Grid In</w:t>
      </w:r>
      <w:r>
        <w:t>frastructure (EGI) foundat</w:t>
      </w:r>
      <w:r w:rsidR="00D3085E">
        <w:t>ion coordinates and manages pan-</w:t>
      </w:r>
      <w:r>
        <w:t>European grid services and infrastructure, while at each country</w:t>
      </w:r>
      <w:r w:rsidR="00D3085E">
        <w:t>-</w:t>
      </w:r>
      <w:r>
        <w:t xml:space="preserve">level National Grid Initiatives manage local </w:t>
      </w:r>
      <w:proofErr w:type="spellStart"/>
      <w:r>
        <w:t>eResearch</w:t>
      </w:r>
      <w:proofErr w:type="spellEnd"/>
      <w:r>
        <w:t xml:space="preserve"> resources. The EGI is currently leading the EGI-Engage project which aims to “accelerate the implementation of Open Science Commons by expanding the capabilities of a European backbone of federated services for compute, storage, data, communication, knowledge and expertise, complementing com</w:t>
      </w:r>
      <w:r w:rsidR="00A95757">
        <w:t>munity-specific capabilities”</w:t>
      </w:r>
      <w:r>
        <w:t xml:space="preserve"> (</w:t>
      </w:r>
      <w:r w:rsidR="00A95757">
        <w:t>egi.eu</w:t>
      </w:r>
      <w:hyperlink r:id="rId10" w:history="1"/>
      <w:r>
        <w:t>)</w:t>
      </w:r>
      <w:r w:rsidR="00A95757">
        <w:t>.</w:t>
      </w:r>
      <w:r>
        <w:t xml:space="preserve"> </w:t>
      </w:r>
      <w:r w:rsidR="00040BBB">
        <w:t xml:space="preserve">The European Union funds a number of multi-nation collaborative approaches to </w:t>
      </w:r>
      <w:proofErr w:type="spellStart"/>
      <w:r w:rsidR="00040BBB">
        <w:t>eResearch</w:t>
      </w:r>
      <w:proofErr w:type="spellEnd"/>
      <w:r w:rsidR="00040BBB">
        <w:t xml:space="preserve"> infrastructure in the humanities, developed under the European Strategy Forum for Research Infrastructures (ESFRI). These include CLARIN-D</w:t>
      </w:r>
      <w:r w:rsidR="00040BBB">
        <w:rPr>
          <w:rStyle w:val="FootnoteReference"/>
        </w:rPr>
        <w:footnoteReference w:id="6"/>
      </w:r>
      <w:r w:rsidR="00040BBB">
        <w:t xml:space="preserve"> (Research Infrastructure to make language resources and technology available and useful to scholars of all disciplines) and DARIAH</w:t>
      </w:r>
      <w:r w:rsidR="00040BBB">
        <w:rPr>
          <w:rStyle w:val="FootnoteReference"/>
        </w:rPr>
        <w:footnoteReference w:id="7"/>
      </w:r>
      <w:r w:rsidR="00040BBB">
        <w:t xml:space="preserve"> (Digital Infrastructure to Study Source Materials in Cultural Heritage Institutions). </w:t>
      </w:r>
    </w:p>
    <w:p w14:paraId="2943295E" w14:textId="77777777" w:rsidR="00040BBB" w:rsidRDefault="00040BBB" w:rsidP="00040BBB"/>
    <w:p w14:paraId="1096CC39" w14:textId="77777777" w:rsidR="00040BBB" w:rsidRPr="00C967AA" w:rsidRDefault="00040BBB" w:rsidP="00040BBB">
      <w:pPr>
        <w:pStyle w:val="ListParagraph"/>
        <w:numPr>
          <w:ilvl w:val="0"/>
          <w:numId w:val="17"/>
        </w:numPr>
        <w:rPr>
          <w:i/>
        </w:rPr>
      </w:pPr>
      <w:r w:rsidRPr="00C967AA">
        <w:rPr>
          <w:i/>
        </w:rPr>
        <w:t>Alliances</w:t>
      </w:r>
    </w:p>
    <w:p w14:paraId="662B64D1" w14:textId="7A6579E7" w:rsidR="00040BBB" w:rsidRDefault="00040BBB" w:rsidP="00040BBB">
      <w:r>
        <w:t xml:space="preserve">The United States and China </w:t>
      </w:r>
      <w:r w:rsidR="00D3085E">
        <w:t xml:space="preserve">are </w:t>
      </w:r>
      <w:r>
        <w:t>currently engage</w:t>
      </w:r>
      <w:r w:rsidR="00D3085E">
        <w:t>d</w:t>
      </w:r>
      <w:r>
        <w:t xml:space="preserve"> in a multi-year collaboration to discuss </w:t>
      </w:r>
      <w:proofErr w:type="spellStart"/>
      <w:r>
        <w:t>cyberinfrastructure</w:t>
      </w:r>
      <w:proofErr w:type="spellEnd"/>
      <w:r>
        <w:t xml:space="preserve"> to support research and broaden collaboration between the two nations (</w:t>
      </w:r>
      <w:r w:rsidR="00E04A86">
        <w:t>china.internet2.edu</w:t>
      </w:r>
      <w:hyperlink r:id="rId11" w:history="1"/>
      <w:r>
        <w:t>)</w:t>
      </w:r>
      <w:r w:rsidR="00E04A86">
        <w:t>.</w:t>
      </w:r>
      <w:r>
        <w:t xml:space="preserve"> </w:t>
      </w:r>
      <w:r w:rsidRPr="0020330E">
        <w:t>Other international partnerships include the G8</w:t>
      </w:r>
      <w:r w:rsidR="00E04A86">
        <w:rPr>
          <w:rStyle w:val="FootnoteReference"/>
        </w:rPr>
        <w:footnoteReference w:id="8"/>
      </w:r>
      <w:r w:rsidRPr="0020330E">
        <w:t xml:space="preserve"> science ministers</w:t>
      </w:r>
      <w:r>
        <w:t xml:space="preserve"> who have published a joint commitment to pursuing ‘global research infrastructure, open scientific research </w:t>
      </w:r>
      <w:r>
        <w:lastRenderedPageBreak/>
        <w:t>data, and increasing access to the peer-reviewed, published results of scientific research</w:t>
      </w:r>
      <w:r w:rsidR="00E04A86">
        <w:t>’</w:t>
      </w:r>
      <w:r>
        <w:t xml:space="preserve"> (</w:t>
      </w:r>
      <w:r w:rsidR="00E04A86">
        <w:t>gov.uk</w:t>
      </w:r>
      <w:hyperlink r:id="rId12" w:history="1"/>
      <w:r>
        <w:t>). The UK Open Research Data Forum has jointly released a statement with the US Committee on Coherence at Scale for Higher Education - the Statement on th</w:t>
      </w:r>
      <w:r w:rsidR="008D7129">
        <w:t>e Principles of Open Data (</w:t>
      </w:r>
      <w:r>
        <w:t xml:space="preserve">2014). </w:t>
      </w:r>
      <w:r w:rsidRPr="0060640B">
        <w:t>Internationally alliances such as the Research Data Alliance and the International Council of Science Committee on Data Science and Technology are driving a collaborative open data agenda.</w:t>
      </w:r>
      <w:r>
        <w:t xml:space="preserve"> </w:t>
      </w:r>
    </w:p>
    <w:p w14:paraId="712A855D" w14:textId="77777777" w:rsidR="00040BBB" w:rsidRDefault="00040BBB" w:rsidP="000D518B">
      <w:pPr>
        <w:rPr>
          <w:i/>
        </w:rPr>
      </w:pPr>
    </w:p>
    <w:p w14:paraId="0A3F7545" w14:textId="4B0F54EC" w:rsidR="00FC3598" w:rsidRPr="00FC3598" w:rsidRDefault="00C967AA" w:rsidP="000D518B">
      <w:pPr>
        <w:rPr>
          <w:i/>
        </w:rPr>
      </w:pPr>
      <w:r>
        <w:rPr>
          <w:i/>
        </w:rPr>
        <w:t>5.1</w:t>
      </w:r>
      <w:proofErr w:type="gramStart"/>
      <w:r>
        <w:rPr>
          <w:i/>
        </w:rPr>
        <w:t>.</w:t>
      </w:r>
      <w:r w:rsidR="00040BBB">
        <w:rPr>
          <w:i/>
        </w:rPr>
        <w:t>b</w:t>
      </w:r>
      <w:proofErr w:type="gramEnd"/>
      <w:r>
        <w:rPr>
          <w:i/>
        </w:rPr>
        <w:t xml:space="preserve"> </w:t>
      </w:r>
      <w:r w:rsidR="00FC3598">
        <w:rPr>
          <w:i/>
        </w:rPr>
        <w:t>Fundamentally c</w:t>
      </w:r>
      <w:r w:rsidR="00FC3598" w:rsidRPr="00FC3598">
        <w:rPr>
          <w:i/>
        </w:rPr>
        <w:t>hanging the way we do research</w:t>
      </w:r>
    </w:p>
    <w:p w14:paraId="76084127" w14:textId="0F7654A2" w:rsidR="009B468D" w:rsidRDefault="00AC0012" w:rsidP="009039F8">
      <w:r>
        <w:t xml:space="preserve">Across all disciplines </w:t>
      </w:r>
      <w:proofErr w:type="spellStart"/>
      <w:r>
        <w:t>eResearch</w:t>
      </w:r>
      <w:proofErr w:type="spellEnd"/>
      <w:r>
        <w:t xml:space="preserve"> is creating fundamental change in the way research</w:t>
      </w:r>
      <w:r w:rsidR="0060228B">
        <w:t xml:space="preserve"> is done and the outcomes it facilitates</w:t>
      </w:r>
      <w:r>
        <w:t xml:space="preserve">. </w:t>
      </w:r>
      <w:r w:rsidR="009B468D">
        <w:t>Technologies are opening opportunities for cross-disciplinary, cross-institutional and cross-sector collaboration; for faster data collection and analysis</w:t>
      </w:r>
      <w:r w:rsidR="0091360F">
        <w:t xml:space="preserve"> on a huge scale</w:t>
      </w:r>
      <w:r w:rsidR="009B468D">
        <w:t xml:space="preserve">; </w:t>
      </w:r>
      <w:r w:rsidR="0091360F">
        <w:t xml:space="preserve">for </w:t>
      </w:r>
      <w:r w:rsidR="00647479">
        <w:t>active and archival storage</w:t>
      </w:r>
      <w:r w:rsidR="0091360F">
        <w:t xml:space="preserve"> and data sharing</w:t>
      </w:r>
      <w:r w:rsidR="00647479">
        <w:t xml:space="preserve">; </w:t>
      </w:r>
      <w:r w:rsidR="009B468D">
        <w:t>and</w:t>
      </w:r>
      <w:r w:rsidR="00D3085E">
        <w:t>,</w:t>
      </w:r>
      <w:r w:rsidR="009B468D">
        <w:t xml:space="preserve"> by virtue of the potential these technologies enable</w:t>
      </w:r>
      <w:r w:rsidR="00D3085E">
        <w:t>,</w:t>
      </w:r>
      <w:r w:rsidR="009B468D">
        <w:t xml:space="preserve"> are creating cultural shifts seen in practices such as open data sharing and citizen science. </w:t>
      </w:r>
    </w:p>
    <w:p w14:paraId="0892CDCB" w14:textId="073CCE7A" w:rsidR="008C62A4" w:rsidRDefault="00E32E6F" w:rsidP="009039F8">
      <w:pPr>
        <w:rPr>
          <w:rStyle w:val="tx"/>
        </w:rPr>
      </w:pPr>
      <w:r>
        <w:t>Humanities researchers are collaborating with computer science departments</w:t>
      </w:r>
      <w:r w:rsidR="00EF6870">
        <w:t xml:space="preserve"> to </w:t>
      </w:r>
      <w:r w:rsidR="00015E39">
        <w:t xml:space="preserve">preserve, digitise, analyse </w:t>
      </w:r>
      <w:r w:rsidR="00EF3442">
        <w:t xml:space="preserve">and share their research. </w:t>
      </w:r>
      <w:r w:rsidR="00F00F48">
        <w:t xml:space="preserve">The </w:t>
      </w:r>
      <w:r w:rsidR="00F00F48" w:rsidRPr="00F00F48">
        <w:rPr>
          <w:i/>
        </w:rPr>
        <w:t xml:space="preserve">Status Report on the NCRIS </w:t>
      </w:r>
      <w:proofErr w:type="spellStart"/>
      <w:r w:rsidR="00F00F48" w:rsidRPr="00F00F48">
        <w:rPr>
          <w:i/>
        </w:rPr>
        <w:t>eResearch</w:t>
      </w:r>
      <w:proofErr w:type="spellEnd"/>
      <w:r w:rsidR="00F00F48" w:rsidRPr="00F00F48">
        <w:rPr>
          <w:i/>
        </w:rPr>
        <w:t xml:space="preserve"> Capability</w:t>
      </w:r>
      <w:r w:rsidR="00F00F48">
        <w:t xml:space="preserve"> indicates the Australian research community anticipates “future growth of data demand in the HASS disciplines” and “continuing unmet demand for digitisation”</w:t>
      </w:r>
      <w:r w:rsidR="00BD6EDF">
        <w:t xml:space="preserve"> (</w:t>
      </w:r>
      <w:r w:rsidR="00AE27DC">
        <w:t xml:space="preserve">Cochran, </w:t>
      </w:r>
      <w:r w:rsidR="00BD6EDF">
        <w:t>2015</w:t>
      </w:r>
      <w:r w:rsidR="00AE27DC">
        <w:t xml:space="preserve"> </w:t>
      </w:r>
      <w:r w:rsidR="00FB2C77">
        <w:t>p10</w:t>
      </w:r>
      <w:r w:rsidR="00BD6EDF">
        <w:t>)</w:t>
      </w:r>
      <w:r w:rsidR="00F00F48">
        <w:t>.</w:t>
      </w:r>
      <w:r w:rsidR="0075509A">
        <w:t xml:space="preserve"> The AURIN</w:t>
      </w:r>
      <w:r w:rsidR="009A4DB9">
        <w:t xml:space="preserve"> (Australian Urban Research Infrastructure Network)</w:t>
      </w:r>
      <w:r w:rsidR="00284230">
        <w:rPr>
          <w:rStyle w:val="FootnoteReference"/>
        </w:rPr>
        <w:footnoteReference w:id="9"/>
      </w:r>
      <w:r w:rsidR="0075509A">
        <w:t xml:space="preserve"> projec</w:t>
      </w:r>
      <w:r w:rsidR="009A4DB9">
        <w:t>t is an example of this. The project is</w:t>
      </w:r>
      <w:r w:rsidR="0075509A">
        <w:t xml:space="preserve"> led by the University of Melbourne and</w:t>
      </w:r>
      <w:r w:rsidR="009A4DB9">
        <w:t xml:space="preserve"> involves a wide range of public and private sector collaborators. The project delivers a “one-stop online portal with more than 1,200 multi-disciplinary datasets… and a suite of open-source tools covering spatial and statistical modelling, planning and visualisation” </w:t>
      </w:r>
      <w:r w:rsidR="00805EDE">
        <w:t xml:space="preserve">to enable evidence-based decision making around a range of urban management issues </w:t>
      </w:r>
      <w:r w:rsidR="00AE27DC">
        <w:t xml:space="preserve">(aurin.org). </w:t>
      </w:r>
      <w:r w:rsidR="008C62A4" w:rsidRPr="00805EDE">
        <w:t xml:space="preserve">At UCLA the </w:t>
      </w:r>
      <w:r w:rsidR="008C62A4" w:rsidRPr="00805EDE">
        <w:rPr>
          <w:i/>
        </w:rPr>
        <w:t>Event Pulse</w:t>
      </w:r>
      <w:r w:rsidR="00284230">
        <w:rPr>
          <w:rStyle w:val="FootnoteReference"/>
          <w:i/>
        </w:rPr>
        <w:footnoteReference w:id="10"/>
      </w:r>
      <w:r w:rsidR="008C62A4" w:rsidRPr="00805EDE">
        <w:t xml:space="preserve"> project </w:t>
      </w:r>
      <w:r w:rsidR="000F1B50" w:rsidRPr="00805EDE">
        <w:t>analyse</w:t>
      </w:r>
      <w:r w:rsidR="008C62A4" w:rsidRPr="00805EDE">
        <w:t>s</w:t>
      </w:r>
      <w:r w:rsidR="000F1B50" w:rsidRPr="00805EDE">
        <w:t xml:space="preserve"> the</w:t>
      </w:r>
      <w:r w:rsidR="000F1B50">
        <w:t xml:space="preserve"> university library’s broadcast news media archive of more than 200,000 news programs from the last ten years plus social media feeds</w:t>
      </w:r>
      <w:r w:rsidR="008C62A4">
        <w:t>. Mark</w:t>
      </w:r>
      <w:r w:rsidR="0060228B">
        <w:t>-</w:t>
      </w:r>
      <w:r w:rsidR="008C62A4">
        <w:t>up technology has allowed for analysis of the broadcasts so the project team can “</w:t>
      </w:r>
      <w:r w:rsidR="008C62A4">
        <w:rPr>
          <w:rStyle w:val="tx"/>
        </w:rPr>
        <w:t xml:space="preserve">discover, track, visualize, and </w:t>
      </w:r>
      <w:proofErr w:type="spellStart"/>
      <w:r w:rsidR="008C62A4">
        <w:rPr>
          <w:rStyle w:val="tx"/>
        </w:rPr>
        <w:t>analyze</w:t>
      </w:r>
      <w:proofErr w:type="spellEnd"/>
      <w:r w:rsidR="008C62A4">
        <w:rPr>
          <w:rStyle w:val="tx"/>
        </w:rPr>
        <w:t xml:space="preserve"> the underlying forces of world events and the multiple ways they are represented through the media”</w:t>
      </w:r>
      <w:r w:rsidR="00BD6EDF">
        <w:rPr>
          <w:rStyle w:val="tx"/>
        </w:rPr>
        <w:t xml:space="preserve"> (</w:t>
      </w:r>
      <w:r w:rsidR="00AE27DC" w:rsidRPr="00AE27DC">
        <w:rPr>
          <w:rStyle w:val="tx"/>
        </w:rPr>
        <w:t>cd</w:t>
      </w:r>
      <w:r w:rsidR="00AE27DC">
        <w:rPr>
          <w:rStyle w:val="tx"/>
        </w:rPr>
        <w:t>h.ucla.edu</w:t>
      </w:r>
      <w:r w:rsidR="00BD6EDF">
        <w:rPr>
          <w:rStyle w:val="tx"/>
        </w:rPr>
        <w:t>)</w:t>
      </w:r>
      <w:r w:rsidR="008C62A4">
        <w:rPr>
          <w:rStyle w:val="tx"/>
        </w:rPr>
        <w:t>. At the Historical Archive of the Contemporary Jewish Documentation Centre Foundation (CDEC) Milan</w:t>
      </w:r>
      <w:r w:rsidR="009806AE">
        <w:rPr>
          <w:rStyle w:val="tx"/>
        </w:rPr>
        <w:t xml:space="preserve"> the </w:t>
      </w:r>
      <w:r w:rsidR="009806AE" w:rsidRPr="00F77AE4">
        <w:rPr>
          <w:rStyle w:val="tx"/>
          <w:i/>
        </w:rPr>
        <w:t>Open Memory Project</w:t>
      </w:r>
      <w:r w:rsidR="00284230">
        <w:rPr>
          <w:rStyle w:val="FootnoteReference"/>
          <w:i/>
        </w:rPr>
        <w:footnoteReference w:id="11"/>
      </w:r>
      <w:r w:rsidR="00D61E7E">
        <w:rPr>
          <w:rStyle w:val="tx"/>
        </w:rPr>
        <w:t xml:space="preserve"> </w:t>
      </w:r>
      <w:r w:rsidR="009806AE">
        <w:rPr>
          <w:rStyle w:val="tx"/>
        </w:rPr>
        <w:t xml:space="preserve">uses </w:t>
      </w:r>
      <w:r w:rsidR="009806AE" w:rsidRPr="00050CAC">
        <w:rPr>
          <w:rStyle w:val="tx"/>
        </w:rPr>
        <w:t>semantic web technologies</w:t>
      </w:r>
      <w:r w:rsidR="00050CAC" w:rsidRPr="00050CAC">
        <w:rPr>
          <w:rStyle w:val="FootnoteReference"/>
        </w:rPr>
        <w:footnoteReference w:id="12"/>
      </w:r>
      <w:r w:rsidR="009806AE">
        <w:rPr>
          <w:rStyle w:val="tx"/>
        </w:rPr>
        <w:t xml:space="preserve"> to link the names of holocaust victims to data such as place of birth, residence, relatives, place of arrest, arresting officers and deportation details. The project is the first </w:t>
      </w:r>
      <w:r w:rsidR="00F70E27">
        <w:rPr>
          <w:rStyle w:val="tx"/>
        </w:rPr>
        <w:t>to link holocaust data in this way</w:t>
      </w:r>
      <w:r w:rsidR="009806AE">
        <w:rPr>
          <w:rStyle w:val="tx"/>
        </w:rPr>
        <w:t xml:space="preserve">, creating new opportunities for the exploration of histories and significantly expanding research potential. </w:t>
      </w:r>
      <w:r w:rsidR="00040BBB">
        <w:rPr>
          <w:rStyle w:val="tx"/>
        </w:rPr>
        <w:t xml:space="preserve">At Macquarie University the Federated Archaeological </w:t>
      </w:r>
      <w:r w:rsidR="00284230">
        <w:rPr>
          <w:rStyle w:val="tx"/>
        </w:rPr>
        <w:t>Information Management Systems</w:t>
      </w:r>
      <w:r w:rsidR="00284230">
        <w:rPr>
          <w:rStyle w:val="FootnoteReference"/>
        </w:rPr>
        <w:footnoteReference w:id="13"/>
      </w:r>
      <w:r w:rsidR="00284230">
        <w:rPr>
          <w:rStyle w:val="tx"/>
        </w:rPr>
        <w:t xml:space="preserve"> </w:t>
      </w:r>
      <w:r w:rsidR="00040BBB" w:rsidRPr="00A80F41">
        <w:rPr>
          <w:rStyle w:val="tx"/>
        </w:rPr>
        <w:t>suite</w:t>
      </w:r>
      <w:r w:rsidR="00040BBB">
        <w:rPr>
          <w:rStyle w:val="tx"/>
        </w:rPr>
        <w:t xml:space="preserve"> of </w:t>
      </w:r>
      <w:proofErr w:type="spellStart"/>
      <w:r w:rsidR="00003980">
        <w:rPr>
          <w:rStyle w:val="tx"/>
        </w:rPr>
        <w:t>eResearch</w:t>
      </w:r>
      <w:proofErr w:type="spellEnd"/>
      <w:r w:rsidR="00040BBB">
        <w:rPr>
          <w:rStyle w:val="tx"/>
        </w:rPr>
        <w:t xml:space="preserve"> tools enable</w:t>
      </w:r>
      <w:r w:rsidR="00BD6EDF">
        <w:rPr>
          <w:rStyle w:val="tx"/>
        </w:rPr>
        <w:t>s</w:t>
      </w:r>
      <w:r w:rsidR="00040BBB">
        <w:rPr>
          <w:rStyle w:val="tx"/>
        </w:rPr>
        <w:t xml:space="preserve"> digital field data collection, rapid data analysis</w:t>
      </w:r>
      <w:r w:rsidR="00784846">
        <w:rPr>
          <w:rStyle w:val="tx"/>
        </w:rPr>
        <w:t>, data visualisation</w:t>
      </w:r>
      <w:r w:rsidR="00040BBB">
        <w:rPr>
          <w:rStyle w:val="tx"/>
        </w:rPr>
        <w:t xml:space="preserve"> and storage </w:t>
      </w:r>
      <w:r w:rsidR="00784846">
        <w:rPr>
          <w:rStyle w:val="tx"/>
        </w:rPr>
        <w:t xml:space="preserve">and data sharing </w:t>
      </w:r>
      <w:r w:rsidR="00040BBB">
        <w:rPr>
          <w:rStyle w:val="tx"/>
        </w:rPr>
        <w:t xml:space="preserve">facility, which can be deployed across multiple fields of research. </w:t>
      </w:r>
    </w:p>
    <w:p w14:paraId="743FFAB0" w14:textId="10048617" w:rsidR="003519BA" w:rsidRDefault="009039F8" w:rsidP="009039F8">
      <w:r>
        <w:t>In medical research</w:t>
      </w:r>
      <w:r w:rsidR="00BD6EDF">
        <w:t>,</w:t>
      </w:r>
      <w:r>
        <w:t xml:space="preserve"> digital data collection tools</w:t>
      </w:r>
      <w:r w:rsidR="00040BBB">
        <w:t xml:space="preserve"> such as the Australian Institute of Health Innovations </w:t>
      </w:r>
      <w:r w:rsidR="00050CAC" w:rsidRPr="00050CAC">
        <w:t xml:space="preserve">WOMBAT (Work Observation </w:t>
      </w:r>
      <w:r w:rsidR="00050CAC">
        <w:t>Method by Timing Activity)</w:t>
      </w:r>
      <w:r w:rsidR="00284230">
        <w:rPr>
          <w:rStyle w:val="FootnoteReference"/>
        </w:rPr>
        <w:footnoteReference w:id="14"/>
      </w:r>
      <w:r w:rsidR="00040BBB">
        <w:t xml:space="preserve"> </w:t>
      </w:r>
      <w:r w:rsidR="00C65B29">
        <w:t>have been developed and employed in</w:t>
      </w:r>
      <w:r w:rsidR="00490E1D">
        <w:t xml:space="preserve"> a number of</w:t>
      </w:r>
      <w:r w:rsidR="00C65B29">
        <w:t xml:space="preserve"> hospitals</w:t>
      </w:r>
      <w:r w:rsidR="00040BBB">
        <w:t xml:space="preserve"> to track, record and analyse </w:t>
      </w:r>
      <w:r w:rsidR="003519BA">
        <w:t>pr</w:t>
      </w:r>
      <w:r w:rsidR="00C65B29">
        <w:t>actitioner activity</w:t>
      </w:r>
      <w:r w:rsidR="003519BA">
        <w:t xml:space="preserve">. In </w:t>
      </w:r>
      <w:r w:rsidR="00F27743">
        <w:t>science</w:t>
      </w:r>
      <w:r w:rsidR="00BD6EDF">
        <w:t>,</w:t>
      </w:r>
      <w:r w:rsidR="003519BA">
        <w:t xml:space="preserve"> </w:t>
      </w:r>
      <w:r w:rsidR="003519BA">
        <w:lastRenderedPageBreak/>
        <w:t>Ocean Networks Canada (ONC)</w:t>
      </w:r>
      <w:r w:rsidR="00284230">
        <w:rPr>
          <w:rStyle w:val="FootnoteReference"/>
        </w:rPr>
        <w:footnoteReference w:id="15"/>
      </w:r>
      <w:r w:rsidR="003519BA">
        <w:t xml:space="preserve"> at the University of Victoria </w:t>
      </w:r>
      <w:r w:rsidR="00BD6EDF">
        <w:t>has</w:t>
      </w:r>
      <w:r w:rsidR="003519BA">
        <w:t xml:space="preserve"> built a mobile app that enables ‘citizen scientists’ to collect and upload data to the ONC data management system. Systems such as these </w:t>
      </w:r>
      <w:r w:rsidR="0060228B">
        <w:t>reduce</w:t>
      </w:r>
      <w:r w:rsidR="00A33586">
        <w:t xml:space="preserve"> the time to collect and analyse data</w:t>
      </w:r>
      <w:r w:rsidR="003519BA">
        <w:t xml:space="preserve"> and in the case of ONC enable efficiencies by involving the non-scientific community in data collection</w:t>
      </w:r>
      <w:r w:rsidR="00647479">
        <w:t>, analysis and description</w:t>
      </w:r>
      <w:r w:rsidR="00A33586">
        <w:t xml:space="preserve">. </w:t>
      </w:r>
    </w:p>
    <w:p w14:paraId="7DFE3ED2" w14:textId="7427037A" w:rsidR="00BD6EDF" w:rsidRDefault="000E3550" w:rsidP="00BD6EDF">
      <w:r>
        <w:t>Datasets are increasingly charac</w:t>
      </w:r>
      <w:r w:rsidR="00C65B29">
        <w:t xml:space="preserve">terised as large, international, open and </w:t>
      </w:r>
      <w:r>
        <w:t xml:space="preserve">collaborative. </w:t>
      </w:r>
      <w:r w:rsidR="00BD6EDF">
        <w:t>Founder and President of Open Knowledge, Rufus Pollock is popularly quoted as pointing out “the best thing to do with your data will be thought of by someone else” (</w:t>
      </w:r>
      <w:r w:rsidR="00D61E7E" w:rsidRPr="00D61E7E">
        <w:t>rufuspollock.org</w:t>
      </w:r>
      <w:r w:rsidR="00BD6EDF">
        <w:t xml:space="preserve">). This statement is </w:t>
      </w:r>
      <w:r w:rsidR="00490E1D">
        <w:t>demonstrated</w:t>
      </w:r>
      <w:r w:rsidR="00BD6EDF">
        <w:t xml:space="preserve"> by the sharing of astronomical data at the University of Melbourne, whereby “linking expensive astronomical equipment and providing data mining and curation through grid technologies, the observatory enables astrophysicists to work in large global research teams on terabytes of data. By making this data accessible, the observatory allows some of the stored data to be used up to six times for different pieces of research, often in unexpected ways” (</w:t>
      </w:r>
      <w:r w:rsidR="00D61E7E">
        <w:t xml:space="preserve">O’Brien, </w:t>
      </w:r>
      <w:r w:rsidR="00D61E7E" w:rsidRPr="00D61E7E">
        <w:t>2005 p66</w:t>
      </w:r>
      <w:r w:rsidR="00BD6EDF">
        <w:t>)</w:t>
      </w:r>
      <w:r w:rsidR="00D61E7E">
        <w:t>.</w:t>
      </w:r>
    </w:p>
    <w:p w14:paraId="001D87C7" w14:textId="2444CC49" w:rsidR="0020330E" w:rsidRDefault="00A33586" w:rsidP="00BD20D4">
      <w:r>
        <w:t xml:space="preserve">The </w:t>
      </w:r>
      <w:r w:rsidRPr="00F77AE4">
        <w:rPr>
          <w:i/>
        </w:rPr>
        <w:t>1000 Genome Project</w:t>
      </w:r>
      <w:r w:rsidR="00284230">
        <w:rPr>
          <w:rStyle w:val="FootnoteReference"/>
          <w:i/>
        </w:rPr>
        <w:footnoteReference w:id="16"/>
      </w:r>
      <w:r w:rsidR="000E3550">
        <w:t xml:space="preserve"> </w:t>
      </w:r>
      <w:r w:rsidR="002C12DE">
        <w:t>was possible thanks to technologies</w:t>
      </w:r>
      <w:r w:rsidR="00FA66EB">
        <w:t xml:space="preserve"> </w:t>
      </w:r>
      <w:r w:rsidR="00434DE4">
        <w:t>that</w:t>
      </w:r>
      <w:r w:rsidR="002C12DE">
        <w:t xml:space="preserve"> </w:t>
      </w:r>
      <w:r w:rsidR="00FA66EB">
        <w:t>allowed sequencing of 1</w:t>
      </w:r>
      <w:r w:rsidR="0060228B">
        <w:t>,</w:t>
      </w:r>
      <w:r w:rsidR="00FA66EB">
        <w:t xml:space="preserve">000 samples in less than a year </w:t>
      </w:r>
      <w:r w:rsidR="002C12DE">
        <w:t xml:space="preserve">- </w:t>
      </w:r>
      <w:r w:rsidR="00FA66EB">
        <w:t xml:space="preserve">compared to the 10 years it took for the first human genome to </w:t>
      </w:r>
      <w:r w:rsidR="00C65B29">
        <w:t>be sequenced</w:t>
      </w:r>
      <w:r w:rsidR="004A1F08">
        <w:t xml:space="preserve">. </w:t>
      </w:r>
      <w:r w:rsidR="0060228B">
        <w:t xml:space="preserve">Data </w:t>
      </w:r>
      <w:r w:rsidR="00BD6EDF">
        <w:t>were then</w:t>
      </w:r>
      <w:r w:rsidR="002C12DE">
        <w:t xml:space="preserve"> made </w:t>
      </w:r>
      <w:r w:rsidR="00F77AE4">
        <w:t xml:space="preserve">freely </w:t>
      </w:r>
      <w:r w:rsidR="002C12DE">
        <w:t xml:space="preserve">available for scientists to </w:t>
      </w:r>
      <w:r w:rsidR="00F77AE4">
        <w:t xml:space="preserve">access </w:t>
      </w:r>
      <w:r w:rsidR="004A1F08">
        <w:t>through Amazon’s cloud com</w:t>
      </w:r>
      <w:r w:rsidR="00040BBB">
        <w:t xml:space="preserve">puting unit, and </w:t>
      </w:r>
      <w:r w:rsidR="004A1F08">
        <w:t>Amazon provides fee</w:t>
      </w:r>
      <w:r w:rsidR="003D6059">
        <w:t>-</w:t>
      </w:r>
      <w:r w:rsidR="004A1F08">
        <w:t>for</w:t>
      </w:r>
      <w:r w:rsidR="003D6059">
        <w:t>-</w:t>
      </w:r>
      <w:r w:rsidR="004A1F08">
        <w:t xml:space="preserve">service access to their EC2 compute services for </w:t>
      </w:r>
      <w:r w:rsidR="00F45746">
        <w:t>scientists to further analyse the data</w:t>
      </w:r>
      <w:r w:rsidR="004A1F08">
        <w:t xml:space="preserve">. </w:t>
      </w:r>
      <w:r w:rsidR="00F77AE4">
        <w:t>Similarly the</w:t>
      </w:r>
      <w:r w:rsidR="00545CF6">
        <w:t xml:space="preserve"> </w:t>
      </w:r>
      <w:r w:rsidR="00545CF6" w:rsidRPr="00F77AE4">
        <w:rPr>
          <w:i/>
        </w:rPr>
        <w:t xml:space="preserve">Medicines for Malaria </w:t>
      </w:r>
      <w:r w:rsidR="00F77AE4" w:rsidRPr="00F77AE4">
        <w:rPr>
          <w:i/>
        </w:rPr>
        <w:t>P</w:t>
      </w:r>
      <w:r w:rsidR="00545CF6" w:rsidRPr="00F77AE4">
        <w:rPr>
          <w:i/>
        </w:rPr>
        <w:t>roject</w:t>
      </w:r>
      <w:r w:rsidR="00284230">
        <w:rPr>
          <w:rStyle w:val="FootnoteReference"/>
          <w:i/>
        </w:rPr>
        <w:footnoteReference w:id="17"/>
      </w:r>
      <w:r w:rsidR="00545CF6">
        <w:t xml:space="preserve"> make</w:t>
      </w:r>
      <w:r w:rsidR="00C65B29">
        <w:t xml:space="preserve">s </w:t>
      </w:r>
      <w:r w:rsidR="00F45746">
        <w:t>its</w:t>
      </w:r>
      <w:r w:rsidR="00C65B29">
        <w:t xml:space="preserve"> data open for others, paving the way for discoveries in other areas of medicine</w:t>
      </w:r>
      <w:r w:rsidR="00F77AE4">
        <w:t>.</w:t>
      </w:r>
      <w:r w:rsidR="00545CF6">
        <w:t xml:space="preserve"> </w:t>
      </w:r>
      <w:r w:rsidR="002C6DC5">
        <w:t xml:space="preserve">Through </w:t>
      </w:r>
      <w:r w:rsidR="00F77AE4">
        <w:t xml:space="preserve">these practices projects </w:t>
      </w:r>
      <w:r w:rsidR="002C6DC5">
        <w:t xml:space="preserve">such as these are creating </w:t>
      </w:r>
      <w:r w:rsidR="003D6059">
        <w:t>greater</w:t>
      </w:r>
      <w:r w:rsidR="002C6DC5">
        <w:t xml:space="preserve"> possibilities for research outcomes with world-changing impact.</w:t>
      </w:r>
    </w:p>
    <w:p w14:paraId="2E9665D1" w14:textId="5136D5E8" w:rsidR="00BD6EDF" w:rsidRDefault="000F3CD2" w:rsidP="00BD6EDF">
      <w:r>
        <w:t xml:space="preserve">In 2009, </w:t>
      </w:r>
      <w:r w:rsidR="00BD6EDF">
        <w:t xml:space="preserve">European Research Council </w:t>
      </w:r>
      <w:r>
        <w:t xml:space="preserve">Scientific Council member Professor Mathias </w:t>
      </w:r>
      <w:proofErr w:type="spellStart"/>
      <w:r>
        <w:t>Dewatripont</w:t>
      </w:r>
      <w:proofErr w:type="spellEnd"/>
      <w:r>
        <w:t xml:space="preserve"> </w:t>
      </w:r>
      <w:r w:rsidR="00BD6EDF">
        <w:t>flagged the benefits of open access data as allowing researchers to “work with the existing material, check the results and come up with new ideas”, predicting that “open access for unprocessed data is indeed going to happen in virtually all cases” (</w:t>
      </w:r>
      <w:r w:rsidRPr="000F3CD2">
        <w:t>2009</w:t>
      </w:r>
      <w:r w:rsidR="00BD6EDF">
        <w:t>) . Five years later, in 2014 the European Commission Horizon 2020 Pilot on Open Research Data</w:t>
      </w:r>
      <w:r w:rsidR="00284230">
        <w:rPr>
          <w:rStyle w:val="FootnoteReference"/>
        </w:rPr>
        <w:footnoteReference w:id="18"/>
      </w:r>
      <w:r w:rsidR="00BD6EDF">
        <w:t xml:space="preserve"> committed three billion euro in the years 2014-15 to fund research in key areas across Science, Technology and Society. The pilot was established in recognition “that research data is as important as publications” (</w:t>
      </w:r>
      <w:r w:rsidR="00010E9E" w:rsidRPr="00010E9E">
        <w:t>European Commission, 2013</w:t>
      </w:r>
      <w:r w:rsidR="00BD6EDF">
        <w:t>), and with the intention to better understand the infrastructure and the incentives needed to support data sharing and the impact of the barriers researchers face in sharing data. EU Commission policy and research funding programs are expected to evolve as a</w:t>
      </w:r>
      <w:r w:rsidR="00010E9E">
        <w:t xml:space="preserve"> result of the pilot findings. </w:t>
      </w:r>
      <w:r w:rsidR="00BD6EDF">
        <w:t xml:space="preserve"> </w:t>
      </w:r>
    </w:p>
    <w:p w14:paraId="5ACCC144" w14:textId="590CD7D2" w:rsidR="00BD6EDF" w:rsidRDefault="004D1327" w:rsidP="00BD6EDF">
      <w:r>
        <w:t>T</w:t>
      </w:r>
      <w:r w:rsidR="00DA7D7A">
        <w:t xml:space="preserve">he </w:t>
      </w:r>
      <w:r w:rsidR="00E657BC">
        <w:t xml:space="preserve">Research Councils UK </w:t>
      </w:r>
      <w:r w:rsidR="00DA7D7A">
        <w:t xml:space="preserve">Common Principles on Data Policy </w:t>
      </w:r>
      <w:r>
        <w:t>provides a strong message that</w:t>
      </w:r>
      <w:r w:rsidR="00DA7D7A">
        <w:t xml:space="preserve"> </w:t>
      </w:r>
      <w:r w:rsidR="00010E9E">
        <w:t>‘</w:t>
      </w:r>
      <w:r w:rsidR="00DA7D7A">
        <w:t xml:space="preserve">publicly funded research data are a public good, produced in the </w:t>
      </w:r>
      <w:r w:rsidR="004C5495">
        <w:t>public interest, which should be made openly available with as few restrictions as possible in a timely and responsible manner</w:t>
      </w:r>
      <w:r w:rsidR="00010E9E">
        <w:t>’ (rcuk.ac.uk)</w:t>
      </w:r>
      <w:r w:rsidR="004C5495">
        <w:t xml:space="preserve">. </w:t>
      </w:r>
      <w:r w:rsidR="00AD1631">
        <w:t xml:space="preserve">The Royal Society report </w:t>
      </w:r>
      <w:r w:rsidR="00AD1631" w:rsidRPr="00AD1631">
        <w:rPr>
          <w:i/>
        </w:rPr>
        <w:t>Science as an open enterprise</w:t>
      </w:r>
      <w:r w:rsidR="00BD6EDF">
        <w:t xml:space="preserve"> (</w:t>
      </w:r>
      <w:r w:rsidR="00BD6EDF" w:rsidRPr="004C1439">
        <w:t>2012</w:t>
      </w:r>
      <w:r w:rsidR="00BD6EDF">
        <w:t>) provides a comprehensive picture of the enablers (computational and communications technologies), challenges (requirement for cultural change, “intelligent openness”, limitations on openness) and benefits (collaboration, opportunities for new and accelerated research results) of “data-led science”</w:t>
      </w:r>
      <w:r w:rsidR="00BD6EDF">
        <w:rPr>
          <w:rStyle w:val="FootnoteReference"/>
        </w:rPr>
        <w:footnoteReference w:id="19"/>
      </w:r>
      <w:r w:rsidR="00BD6EDF">
        <w:t xml:space="preserve">. </w:t>
      </w:r>
    </w:p>
    <w:p w14:paraId="7C1F2C56" w14:textId="5BE1DD06" w:rsidR="00BD6EDF" w:rsidRDefault="00D904C3" w:rsidP="00BD6EDF">
      <w:r>
        <w:lastRenderedPageBreak/>
        <w:t xml:space="preserve">The Australian Code for the Responsible Conduct of Research (2007) states it is the responsibility of researchers to make research data ‘available for use by other researchers unless this is prevented by ethical, privacy or confidentiality matters’. </w:t>
      </w:r>
      <w:r w:rsidR="00BD6EDF">
        <w:t xml:space="preserve">The message from most funding providers within Australia and internationally is to </w:t>
      </w:r>
      <w:r w:rsidR="00BD6EDF" w:rsidRPr="006453BD">
        <w:rPr>
          <w:i/>
        </w:rPr>
        <w:t>recommend</w:t>
      </w:r>
      <w:r w:rsidR="00BD6EDF">
        <w:t xml:space="preserve"> and </w:t>
      </w:r>
      <w:r w:rsidR="00BD6EDF" w:rsidRPr="006453BD">
        <w:rPr>
          <w:i/>
        </w:rPr>
        <w:t>encourage</w:t>
      </w:r>
      <w:r>
        <w:t xml:space="preserve"> open access to research data ‘</w:t>
      </w:r>
      <w:r w:rsidR="00BD6EDF">
        <w:t>whenever they are not bound by copyright restrictions, confidentiality requi</w:t>
      </w:r>
      <w:r>
        <w:t>rements, or contractual clauses’</w:t>
      </w:r>
      <w:r w:rsidR="00BD6EDF">
        <w:t xml:space="preserve"> (</w:t>
      </w:r>
      <w:r w:rsidRPr="00D904C3">
        <w:t>European Research Council, 2014 p2</w:t>
      </w:r>
      <w:r w:rsidR="00BD6EDF" w:rsidRPr="00D904C3">
        <w:t xml:space="preserve">). </w:t>
      </w:r>
      <w:r w:rsidR="00BD6EDF">
        <w:t xml:space="preserve">While the majority of funding agencies are currently exercising a degree of caution by avoiding mandating open access, some such as the Australian Marine National Facility </w:t>
      </w:r>
      <w:r w:rsidR="00833EEE">
        <w:t>provide research</w:t>
      </w:r>
      <w:r w:rsidR="005A6D69">
        <w:t xml:space="preserve"> teams</w:t>
      </w:r>
      <w:r w:rsidR="00833EEE">
        <w:t xml:space="preserve"> with exclusive use of the data collected by the research team for 12 months only. After this time the Facility makes the data open to the broader research community</w:t>
      </w:r>
      <w:r w:rsidR="00BD6EDF">
        <w:rPr>
          <w:rStyle w:val="FootnoteReference"/>
        </w:rPr>
        <w:footnoteReference w:id="20"/>
      </w:r>
      <w:r w:rsidR="00833EEE">
        <w:t>.</w:t>
      </w:r>
      <w:r w:rsidR="00BD6EDF">
        <w:t xml:space="preserve"> </w:t>
      </w:r>
    </w:p>
    <w:p w14:paraId="52F4C8E4" w14:textId="5606EA83" w:rsidR="00BD6EDF" w:rsidRDefault="00BD6EDF" w:rsidP="00BD6EDF">
      <w:r>
        <w:t xml:space="preserve">Monash University is </w:t>
      </w:r>
      <w:r w:rsidR="0034441B">
        <w:t>preparing for</w:t>
      </w:r>
      <w:r w:rsidR="00E16EF2">
        <w:t xml:space="preserve"> a time when others</w:t>
      </w:r>
      <w:r>
        <w:t xml:space="preserve"> follow suit. The university is working with their researchers “to assist in the transition to an environment where data sharing will increasingly be mandated by funders, and where open data becomes a normal and expected part of research” (</w:t>
      </w:r>
      <w:proofErr w:type="spellStart"/>
      <w:r w:rsidR="00D904C3">
        <w:t>Splawa-Neyman</w:t>
      </w:r>
      <w:proofErr w:type="spellEnd"/>
      <w:r w:rsidR="00D904C3">
        <w:t xml:space="preserve">, Dickson, </w:t>
      </w:r>
      <w:proofErr w:type="spellStart"/>
      <w:r w:rsidR="00D904C3">
        <w:t>Kannan</w:t>
      </w:r>
      <w:proofErr w:type="spellEnd"/>
      <w:r w:rsidR="00D904C3">
        <w:t>, 2015</w:t>
      </w:r>
      <w:r>
        <w:t>). This is driven not only by an expectation that funding agencies will in future wield an open access ‘stick’, but by the benefits of open access data to the research community. These include increased citations for publications that include datasets (</w:t>
      </w:r>
      <w:proofErr w:type="spellStart"/>
      <w:r>
        <w:t>Piwowar</w:t>
      </w:r>
      <w:proofErr w:type="spellEnd"/>
      <w:r>
        <w:t xml:space="preserve"> and Vision, 2013), time saved by reusing existing datasets, opportunities for world-changing discoveries, academ</w:t>
      </w:r>
      <w:r w:rsidR="0096607B">
        <w:t>ic rigour, business innovation</w:t>
      </w:r>
      <w:r>
        <w:t xml:space="preserve">, and better informed policy decisions. </w:t>
      </w:r>
    </w:p>
    <w:p w14:paraId="13CBB12A" w14:textId="4649A1A5" w:rsidR="00BD6EDF" w:rsidRDefault="00BD6EDF" w:rsidP="00BD6EDF">
      <w:r>
        <w:t>From open access publishing to open da</w:t>
      </w:r>
      <w:r w:rsidR="00AD1631">
        <w:t xml:space="preserve">ta, research is evolving as an </w:t>
      </w:r>
      <w:r>
        <w:t xml:space="preserve">open enterprise. </w:t>
      </w:r>
      <w:r w:rsidRPr="0096607B">
        <w:t xml:space="preserve">Open </w:t>
      </w:r>
      <w:r w:rsidR="0034441B" w:rsidRPr="0096607B">
        <w:t>S</w:t>
      </w:r>
      <w:r w:rsidRPr="0096607B">
        <w:t>cience</w:t>
      </w:r>
      <w:r>
        <w:t xml:space="preserve"> takes this notion of openness within the academy to the broader community. The </w:t>
      </w:r>
      <w:r w:rsidRPr="004C6099">
        <w:rPr>
          <w:i/>
        </w:rPr>
        <w:t>Science as an Open Enterprise</w:t>
      </w:r>
      <w:r w:rsidR="00AD1631">
        <w:t xml:space="preserve"> report suggests that ‘</w:t>
      </w:r>
      <w:r>
        <w:t>a realistic means of making data open to the wider public needs to ensure that the data that are most relevant to the public are accessible, intelligible, assessable and useable for the likely purposes of non-specialists</w:t>
      </w:r>
      <w:r w:rsidR="00AD1631">
        <w:t>’ (The Royal Society, 2012)</w:t>
      </w:r>
      <w:r>
        <w:t xml:space="preserve">. This approach applies across all potential audiences and usages of data, including government, professions, industry and the public. </w:t>
      </w:r>
    </w:p>
    <w:p w14:paraId="08586609" w14:textId="5416EE2F" w:rsidR="00BD6EDF" w:rsidRPr="00473725" w:rsidRDefault="00BD6EDF" w:rsidP="00BD6EDF">
      <w:r>
        <w:t>There are obvious challenges and potential limitations. Governance and standards, privacy, ethics and commercial competitive practices need to be addressed. In practice however open science is taking shape across different industries and in different forms. The US Materials Genome Initiative for Global Competitiveness (2011), for example, calls for “data transparency and integration”</w:t>
      </w:r>
      <w:r w:rsidR="0096607B">
        <w:t xml:space="preserve"> (p6)</w:t>
      </w:r>
      <w:r>
        <w:t xml:space="preserve"> to meet the aim “</w:t>
      </w:r>
      <w:r w:rsidRPr="005D3BFA">
        <w:t>not only to allow researchers to easily incorporate their own data into models but additionally to enable researchers and engineers to incorporate each other’s data</w:t>
      </w:r>
      <w:r>
        <w:t xml:space="preserve">” </w:t>
      </w:r>
      <w:r w:rsidR="001F4B9F">
        <w:t>(p10).</w:t>
      </w:r>
      <w:r>
        <w:t xml:space="preserve"> In 2013 the medical device company Medtronic allowed Yale </w:t>
      </w:r>
      <w:proofErr w:type="gramStart"/>
      <w:r>
        <w:t>researchers</w:t>
      </w:r>
      <w:proofErr w:type="gramEnd"/>
      <w:r>
        <w:t xml:space="preserve"> full access to </w:t>
      </w:r>
      <w:r w:rsidR="001F4B9F">
        <w:t>its</w:t>
      </w:r>
      <w:r>
        <w:t xml:space="preserve"> data in order for them to independently review (with full control over t</w:t>
      </w:r>
      <w:r w:rsidR="00B87663">
        <w:t>he results) a back surgery devic</w:t>
      </w:r>
      <w:r>
        <w:t>e called Infuse. Such access to data and control over the results (which in this case were not favourable to the company) is rare, however</w:t>
      </w:r>
      <w:r w:rsidR="00B87663">
        <w:t xml:space="preserve"> it is perhaps an indication of </w:t>
      </w:r>
      <w:r>
        <w:t>how openness is becoming pervasive across all sectors</w:t>
      </w:r>
      <w:r w:rsidR="001F4B9F">
        <w:t xml:space="preserve"> (</w:t>
      </w:r>
      <w:proofErr w:type="spellStart"/>
      <w:r w:rsidR="001F4B9F">
        <w:t>Herper</w:t>
      </w:r>
      <w:proofErr w:type="spellEnd"/>
      <w:r w:rsidR="001F4B9F">
        <w:t>, 2013)</w:t>
      </w:r>
      <w:r>
        <w:t xml:space="preserve">. </w:t>
      </w:r>
    </w:p>
    <w:p w14:paraId="424F2F93" w14:textId="521AF310" w:rsidR="00BD6EDF" w:rsidRDefault="00BD6EDF" w:rsidP="00BD6EDF">
      <w:r>
        <w:t xml:space="preserve">One extension of open science, Citizen Science involves the wider community in aspects of research, including data collection and description. Citizen Science is described by </w:t>
      </w:r>
      <w:r w:rsidR="00AD1631">
        <w:t>Ocean Networks Canada (ONC) as ‘</w:t>
      </w:r>
      <w:r>
        <w:t>a new way of doing science by involving volunteers who may not have scientific training, but can do research-related tasks like making and describing observation</w:t>
      </w:r>
      <w:r w:rsidR="00AD1631">
        <w:t>’</w:t>
      </w:r>
      <w:r w:rsidR="00DC25D2">
        <w:t xml:space="preserve"> (oceannetworks.ca)</w:t>
      </w:r>
      <w:r>
        <w:t xml:space="preserve"> and by the Australian Citizen Science Association as </w:t>
      </w:r>
      <w:r w:rsidR="00AD1631">
        <w:rPr>
          <w:b/>
        </w:rPr>
        <w:t>‘</w:t>
      </w:r>
      <w:r w:rsidRPr="00A7633F">
        <w:rPr>
          <w:rStyle w:val="Strong"/>
          <w:b w:val="0"/>
        </w:rPr>
        <w:t>a partnership between individuals and scientists for investigating pre</w:t>
      </w:r>
      <w:r w:rsidR="00AD1631">
        <w:rPr>
          <w:rStyle w:val="Strong"/>
          <w:b w:val="0"/>
        </w:rPr>
        <w:t>ssing questions about the world’</w:t>
      </w:r>
      <w:r w:rsidR="00DC25D2">
        <w:rPr>
          <w:rStyle w:val="Strong"/>
          <w:b w:val="0"/>
        </w:rPr>
        <w:t xml:space="preserve"> (citizensciencealliance.org)</w:t>
      </w:r>
      <w:r w:rsidRPr="00A7633F">
        <w:rPr>
          <w:b/>
        </w:rPr>
        <w:t xml:space="preserve">. </w:t>
      </w:r>
      <w:r>
        <w:t>Ci</w:t>
      </w:r>
      <w:r w:rsidR="00AD1631">
        <w:t xml:space="preserve">tizen Science is also known as </w:t>
      </w:r>
      <w:r>
        <w:t>public participation in scientific research (PPSR), which the Cornell L</w:t>
      </w:r>
      <w:r w:rsidR="00DC25D2">
        <w:t xml:space="preserve">ab of Ornithology </w:t>
      </w:r>
      <w:r w:rsidR="00DC25D2">
        <w:lastRenderedPageBreak/>
        <w:t>describes as ‘</w:t>
      </w:r>
      <w:r>
        <w:t>organized research in which members of the public engage in the process of scientific investigations: asking questions, collecting data, and/or interpreting results</w:t>
      </w:r>
      <w:r w:rsidR="00DC25D2">
        <w:t>’ (birds.cornell.edu)</w:t>
      </w:r>
      <w:r>
        <w:t xml:space="preserve">. </w:t>
      </w:r>
    </w:p>
    <w:p w14:paraId="72E0FF1A" w14:textId="3F585AD0" w:rsidR="00BD6EDF" w:rsidRDefault="00BD6EDF" w:rsidP="00BD6EDF">
      <w:r>
        <w:t xml:space="preserve">Example projects include the ONC </w:t>
      </w:r>
      <w:proofErr w:type="spellStart"/>
      <w:r>
        <w:t>Coastbuster</w:t>
      </w:r>
      <w:proofErr w:type="spellEnd"/>
      <w:r>
        <w:t xml:space="preserve"> project where individuals can upload and describe photographs they have taken of debris that has washed up onto the west coast of Canada, or the Digital Fisher project where participants watch and describe what they see in deep sea videos recorded with NEPTUNE Canada underwater cameras. The C</w:t>
      </w:r>
      <w:r w:rsidR="00DC25D2">
        <w:t>itizen Science Alliance claims ‘</w:t>
      </w:r>
      <w:r>
        <w:t>such projects are a necessary response to the flood of data facing researchers in many fields</w:t>
      </w:r>
      <w:r w:rsidR="00DC25D2">
        <w:t>’</w:t>
      </w:r>
      <w:r>
        <w:t>.</w:t>
      </w:r>
    </w:p>
    <w:p w14:paraId="3CA78D72" w14:textId="61D7A752" w:rsidR="00BD6EDF" w:rsidRDefault="00BD6EDF" w:rsidP="00BD6EDF">
      <w:r>
        <w:t xml:space="preserve">Citizen Science is gaining strategic attention at government levels. </w:t>
      </w:r>
      <w:r w:rsidRPr="0033024C">
        <w:t xml:space="preserve">In the second half of 2015 the US government hosted </w:t>
      </w:r>
      <w:r>
        <w:t>a</w:t>
      </w:r>
      <w:r w:rsidRPr="0033024C">
        <w:t xml:space="preserve"> live webcast forum “Open Science and Innovation: Of the People, By the People, For the People”</w:t>
      </w:r>
      <w:r w:rsidR="003F6B3A">
        <w:t xml:space="preserve"> (whitehouse.gov)</w:t>
      </w:r>
      <w:r w:rsidRPr="0033024C">
        <w:t>. The Forum was the fulfilment of a commitment made by the US President to co-develop with key stakeholders a shared vision for crowdsourcing and citizen science. The vision would see the country utilise the ‘idle’ potential of citizens to contr</w:t>
      </w:r>
      <w:r w:rsidR="00F672F3">
        <w:t>ibute to research outcomes, to ‘</w:t>
      </w:r>
      <w:r w:rsidRPr="0033024C">
        <w:t>harness the ingenuity of the public by accelerating and scaling the use of open innovation methods</w:t>
      </w:r>
      <w:r w:rsidR="00F672F3">
        <w:t>’</w:t>
      </w:r>
      <w:r w:rsidRPr="0033024C">
        <w:t xml:space="preserve"> and to provide students with the skills needed to excel in science, technology, engineering and math (STEM) by giving them access to p</w:t>
      </w:r>
      <w:r w:rsidR="00F672F3">
        <w:t>articipate in research projects (Office of Science and Technology Policy, 2015)</w:t>
      </w:r>
    </w:p>
    <w:p w14:paraId="02EA11C7" w14:textId="178178C1" w:rsidR="00BD6EDF" w:rsidRDefault="00BD6EDF" w:rsidP="00BD6EDF">
      <w:r>
        <w:t>In July 2015 Australia’s Chief Scientist provided the opening remarks for the inaugural Australian Citizen Science Conference in Canberra</w:t>
      </w:r>
      <w:r w:rsidR="00F672F3">
        <w:t xml:space="preserve"> (</w:t>
      </w:r>
      <w:r w:rsidR="00F672F3" w:rsidRPr="00F672F3">
        <w:t>csna.gaiaresources.com.au/</w:t>
      </w:r>
      <w:proofErr w:type="spellStart"/>
      <w:r w:rsidR="00F672F3" w:rsidRPr="00F672F3">
        <w:t>wordpress</w:t>
      </w:r>
      <w:proofErr w:type="spellEnd"/>
      <w:r w:rsidR="00F672F3" w:rsidRPr="00F672F3">
        <w:t>/</w:t>
      </w:r>
      <w:r w:rsidR="00F672F3">
        <w:t>)</w:t>
      </w:r>
      <w:r>
        <w:t>. Local projects include Discovery Circle</w:t>
      </w:r>
      <w:r w:rsidR="00DC25D2">
        <w:rPr>
          <w:rStyle w:val="FootnoteReference"/>
        </w:rPr>
        <w:footnoteReference w:id="21"/>
      </w:r>
      <w:r>
        <w:t>, run from th</w:t>
      </w:r>
      <w:r w:rsidR="00DC25D2">
        <w:t>e University of South Australia</w:t>
      </w:r>
      <w:r>
        <w:t xml:space="preserve"> and</w:t>
      </w:r>
      <w:r w:rsidR="00DC25D2">
        <w:t xml:space="preserve"> the Atlas of Living Australia</w:t>
      </w:r>
      <w:r w:rsidR="00DC25D2">
        <w:rPr>
          <w:rStyle w:val="FootnoteReference"/>
        </w:rPr>
        <w:footnoteReference w:id="22"/>
      </w:r>
      <w:r w:rsidR="00DC25D2">
        <w:t xml:space="preserve"> </w:t>
      </w:r>
      <w:r>
        <w:t xml:space="preserve"> where citizens can add sightings of plants or animals directly to the Atlas, participate in local animal monitoring projects such as Climate Watch or international projects such as the US-based </w:t>
      </w:r>
      <w:proofErr w:type="spellStart"/>
      <w:r>
        <w:t>iNaturalist</w:t>
      </w:r>
      <w:proofErr w:type="spellEnd"/>
      <w:r>
        <w:t xml:space="preserve">. </w:t>
      </w:r>
    </w:p>
    <w:p w14:paraId="5555C35D" w14:textId="77777777" w:rsidR="00BD6EDF" w:rsidRDefault="00BD6EDF" w:rsidP="008B0543"/>
    <w:p w14:paraId="62159A1A" w14:textId="0F367AAE" w:rsidR="00142773" w:rsidRPr="00142773" w:rsidRDefault="00B34321" w:rsidP="008B0543">
      <w:pPr>
        <w:rPr>
          <w:i/>
        </w:rPr>
      </w:pPr>
      <w:r>
        <w:rPr>
          <w:i/>
        </w:rPr>
        <w:t>1.1</w:t>
      </w:r>
      <w:proofErr w:type="gramStart"/>
      <w:r>
        <w:rPr>
          <w:i/>
        </w:rPr>
        <w:t>.c</w:t>
      </w:r>
      <w:proofErr w:type="gramEnd"/>
      <w:r>
        <w:rPr>
          <w:i/>
        </w:rPr>
        <w:t xml:space="preserve"> </w:t>
      </w:r>
      <w:r w:rsidR="00142773">
        <w:rPr>
          <w:i/>
        </w:rPr>
        <w:t>Implications for c</w:t>
      </w:r>
      <w:r w:rsidR="00142773" w:rsidRPr="00142773">
        <w:rPr>
          <w:i/>
        </w:rPr>
        <w:t>areers and training</w:t>
      </w:r>
    </w:p>
    <w:p w14:paraId="77E8DB81" w14:textId="1711C78F" w:rsidR="00142773" w:rsidRDefault="00142773" w:rsidP="00142773">
      <w:r>
        <w:t xml:space="preserve">Such fundamental change has and will continue to see demand for new skill sets for researchers and new career pathways for </w:t>
      </w:r>
      <w:r w:rsidR="00B87663">
        <w:t>professional</w:t>
      </w:r>
      <w:r>
        <w:t xml:space="preserve"> staff. The latter are no longer viewed as consultants who are brought in to work on isolated technical components of the research but are recognised as integral partners in the research team. A search of Australian University and </w:t>
      </w:r>
      <w:proofErr w:type="spellStart"/>
      <w:r>
        <w:t>eResearch</w:t>
      </w:r>
      <w:proofErr w:type="spellEnd"/>
      <w:r>
        <w:t xml:space="preserve"> support organisation websites reveals a range of technical and data roles which partner with researchers to deliver on </w:t>
      </w:r>
      <w:proofErr w:type="spellStart"/>
      <w:r>
        <w:t>eResearch</w:t>
      </w:r>
      <w:proofErr w:type="spellEnd"/>
      <w:r>
        <w:t xml:space="preserve"> outcomes:</w:t>
      </w:r>
    </w:p>
    <w:p w14:paraId="3B39DE99" w14:textId="77777777" w:rsidR="00142773" w:rsidRDefault="00142773" w:rsidP="00142773">
      <w:r>
        <w:rPr>
          <w:noProof/>
          <w:lang w:eastAsia="en-AU"/>
        </w:rPr>
        <mc:AlternateContent>
          <mc:Choice Requires="wps">
            <w:drawing>
              <wp:anchor distT="45720" distB="45720" distL="114300" distR="114300" simplePos="0" relativeHeight="251659264" behindDoc="0" locked="0" layoutInCell="1" allowOverlap="1" wp14:anchorId="1F4E5719" wp14:editId="1B700B8A">
                <wp:simplePos x="0" y="0"/>
                <wp:positionH relativeFrom="column">
                  <wp:posOffset>257175</wp:posOffset>
                </wp:positionH>
                <wp:positionV relativeFrom="paragraph">
                  <wp:posOffset>121285</wp:posOffset>
                </wp:positionV>
                <wp:extent cx="5067300" cy="1076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076325"/>
                        </a:xfrm>
                        <a:prstGeom prst="rect">
                          <a:avLst/>
                        </a:prstGeom>
                        <a:solidFill>
                          <a:srgbClr val="FFFFFF"/>
                        </a:solidFill>
                        <a:ln w="9525">
                          <a:noFill/>
                          <a:miter lim="800000"/>
                          <a:headEnd/>
                          <a:tailEnd/>
                        </a:ln>
                      </wps:spPr>
                      <wps:txbx>
                        <w:txbxContent>
                          <w:p w14:paraId="31A22C62" w14:textId="2021678F" w:rsidR="004C5FBE" w:rsidRDefault="004C5FBE" w:rsidP="00142773">
                            <w:pPr>
                              <w:pStyle w:val="ListParagraph"/>
                              <w:ind w:left="284"/>
                            </w:pPr>
                            <w:r>
                              <w:t>Technical Managers and Support Officers; Software Engineers and Developers; Data Architects; Systems Administrators; e-Infrastructure Managers; e-Research Officers; High Performance Computing Support; Testers; Data Analysts; Data Support Managers and Data Librarians; Repository Managers; Multi-media producers.</w:t>
                            </w:r>
                          </w:p>
                          <w:p w14:paraId="358D727C" w14:textId="77777777" w:rsidR="004C5FBE" w:rsidRDefault="004C5FBE" w:rsidP="001427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E5719" id="_x0000_t202" coordsize="21600,21600" o:spt="202" path="m,l,21600r21600,l21600,xe">
                <v:stroke joinstyle="miter"/>
                <v:path gradientshapeok="t" o:connecttype="rect"/>
              </v:shapetype>
              <v:shape id="Text Box 2" o:spid="_x0000_s1026" type="#_x0000_t202" style="position:absolute;margin-left:20.25pt;margin-top:9.55pt;width:399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" stroked="f">
                <v:textbox>
                  <w:txbxContent>
                    <w:p w14:paraId="31A22C62" w14:textId="2021678F" w:rsidR="004C5FBE" w:rsidRDefault="004C5FBE" w:rsidP="00142773">
                      <w:pPr>
                        <w:pStyle w:val="ListParagraph"/>
                        <w:ind w:left="284"/>
                      </w:pPr>
                      <w:r>
                        <w:t>Technical Managers and Support Officers; Software Engineers and Developers; Data Architects; Systems Administrators; e-Infrastructure Managers; e-Research Officers; High Performance Computing Support; Testers; Data Analysts; Data Support Managers and Data Librarians; Repository Managers; Multi-media producers.</w:t>
                      </w:r>
                    </w:p>
                    <w:p w14:paraId="358D727C" w14:textId="77777777" w:rsidR="004C5FBE" w:rsidRDefault="004C5FBE" w:rsidP="00142773"/>
                  </w:txbxContent>
                </v:textbox>
                <w10:wrap type="square"/>
              </v:shape>
            </w:pict>
          </mc:Fallback>
        </mc:AlternateContent>
      </w:r>
    </w:p>
    <w:p w14:paraId="361D5B70" w14:textId="77777777" w:rsidR="00142773" w:rsidRDefault="00142773" w:rsidP="00142773"/>
    <w:p w14:paraId="1F49B8F2" w14:textId="77777777" w:rsidR="00142773" w:rsidRDefault="00142773" w:rsidP="00142773">
      <w:pPr>
        <w:pStyle w:val="ListParagraph"/>
      </w:pPr>
    </w:p>
    <w:p w14:paraId="6A48ECE9" w14:textId="77777777" w:rsidR="00142773" w:rsidRDefault="00142773" w:rsidP="00142773"/>
    <w:p w14:paraId="0AB58E0D" w14:textId="77777777" w:rsidR="00142773" w:rsidRDefault="00142773" w:rsidP="00142773"/>
    <w:p w14:paraId="26F9BC4A" w14:textId="68D5DD8B" w:rsidR="007111F4" w:rsidRDefault="00B267AF" w:rsidP="00142773">
      <w:r>
        <w:t>Demonstrating the impact of these technological changes across society, t</w:t>
      </w:r>
      <w:r w:rsidR="00142773">
        <w:t>he 2012 Forbes list of “10 jobs that didn’t exist 10 years ago”</w:t>
      </w:r>
      <w:r>
        <w:t xml:space="preserve"> lists</w:t>
      </w:r>
      <w:r w:rsidR="00142773">
        <w:t xml:space="preserve"> </w:t>
      </w:r>
      <w:r>
        <w:t>fo</w:t>
      </w:r>
      <w:r w:rsidR="00142773">
        <w:t xml:space="preserve">ur </w:t>
      </w:r>
      <w:proofErr w:type="spellStart"/>
      <w:r w:rsidR="00142773">
        <w:t>eRe</w:t>
      </w:r>
      <w:r w:rsidR="00B87663">
        <w:t>search</w:t>
      </w:r>
      <w:proofErr w:type="spellEnd"/>
      <w:r w:rsidR="00B87663">
        <w:t>/e-Science related roles:</w:t>
      </w:r>
      <w:r w:rsidR="00142773">
        <w:t xml:space="preserve"> Cloud Computing Services, User Experience Design, App Developer and Market Research Data Miner. According to the </w:t>
      </w:r>
      <w:r w:rsidR="00142773">
        <w:lastRenderedPageBreak/>
        <w:t>article</w:t>
      </w:r>
      <w:r>
        <w:t>,</w:t>
      </w:r>
      <w:r w:rsidR="00142773">
        <w:t xml:space="preserve"> “Library Science is a really hot degree right now… It’s a helpful knowledge set for someone hoping to manage large amounts of data”</w:t>
      </w:r>
      <w:r w:rsidR="00DF5EAD">
        <w:t xml:space="preserve"> (</w:t>
      </w:r>
      <w:proofErr w:type="spellStart"/>
      <w:r w:rsidR="00DF5EAD">
        <w:t>Casserly</w:t>
      </w:r>
      <w:proofErr w:type="spellEnd"/>
      <w:r w:rsidR="00DF5EAD">
        <w:t>, 2012)</w:t>
      </w:r>
      <w:r w:rsidR="00142773">
        <w:t xml:space="preserve">. </w:t>
      </w:r>
    </w:p>
    <w:p w14:paraId="1D4FC90C" w14:textId="557E23C3" w:rsidR="005D2F45" w:rsidRPr="008E0AE9" w:rsidRDefault="007111F4" w:rsidP="005D2F45">
      <w:pPr>
        <w:spacing w:after="0" w:line="240" w:lineRule="auto"/>
        <w:rPr>
          <w:highlight w:val="cyan"/>
        </w:rPr>
      </w:pPr>
      <w:r>
        <w:t>This view is supported by the UK Open Research Data Forum which</w:t>
      </w:r>
      <w:r w:rsidR="00ED12B4">
        <w:t xml:space="preserve"> highlights a </w:t>
      </w:r>
      <w:r w:rsidR="00DC25D2">
        <w:t>‘</w:t>
      </w:r>
      <w:r>
        <w:t>major skills gap</w:t>
      </w:r>
      <w:r w:rsidR="00DC25D2">
        <w:t>’</w:t>
      </w:r>
      <w:r>
        <w:t xml:space="preserve"> for data scientists and suggests university </w:t>
      </w:r>
      <w:r w:rsidR="00ED12B4">
        <w:t>training should focus on: d</w:t>
      </w:r>
      <w:r>
        <w:t>ata literacy for all</w:t>
      </w:r>
      <w:r w:rsidR="00ED12B4">
        <w:t>; t</w:t>
      </w:r>
      <w:r>
        <w:t>he development of generic data specialists, who might be best located as part of a library function</w:t>
      </w:r>
      <w:r w:rsidR="00ED12B4">
        <w:t>; s</w:t>
      </w:r>
      <w:r>
        <w:t>pecialists with domain expertise, who should be located in operation</w:t>
      </w:r>
      <w:r w:rsidR="00ED12B4">
        <w:t>al units (departments, centres)</w:t>
      </w:r>
      <w:r w:rsidR="001A5BB3">
        <w:t xml:space="preserve"> (2014).</w:t>
      </w:r>
      <w:r>
        <w:t xml:space="preserve"> It is worth acknowledging here that</w:t>
      </w:r>
      <w:r w:rsidR="00142773">
        <w:t xml:space="preserve"> academic librarians within Australia and overseas have embraced data management and are continually at the forefront of </w:t>
      </w:r>
      <w:r w:rsidR="00173162">
        <w:t>delivering</w:t>
      </w:r>
      <w:r w:rsidR="00142773">
        <w:t xml:space="preserve"> research support using new technologies, from digital publishing to </w:t>
      </w:r>
      <w:r w:rsidR="00173162">
        <w:t>data management to 3D printing.</w:t>
      </w:r>
      <w:r w:rsidR="005D2F45">
        <w:t xml:space="preserve"> </w:t>
      </w:r>
      <w:r w:rsidR="001A5BB3">
        <w:t>During his presentation at the 2015 Digital Humanities Conference</w:t>
      </w:r>
      <w:r w:rsidR="001A5BB3">
        <w:rPr>
          <w:rStyle w:val="FootnoteReference"/>
        </w:rPr>
        <w:footnoteReference w:id="23"/>
      </w:r>
      <w:r w:rsidR="001A5BB3">
        <w:t xml:space="preserve">, </w:t>
      </w:r>
      <w:r w:rsidR="00B73C41">
        <w:t>Gale Publishing’s Ray Abruzzi believes</w:t>
      </w:r>
      <w:r w:rsidR="005D2F45">
        <w:t xml:space="preserve"> </w:t>
      </w:r>
      <w:r w:rsidR="005D2F45" w:rsidRPr="005D2F45">
        <w:t>most successful digital project partnerships involve the Library. At McMaster University, Canada, the Sherman Centre for Digital Scholarship</w:t>
      </w:r>
      <w:r w:rsidR="00DC25D2">
        <w:rPr>
          <w:rStyle w:val="FootnoteReference"/>
        </w:rPr>
        <w:footnoteReference w:id="24"/>
      </w:r>
      <w:r w:rsidR="00DC25D2">
        <w:t xml:space="preserve"> </w:t>
      </w:r>
      <w:r w:rsidR="005D2F45" w:rsidRPr="005D2F45">
        <w:t>has almost entirely been f</w:t>
      </w:r>
      <w:r w:rsidR="00CA65D0">
        <w:t xml:space="preserve">unded and </w:t>
      </w:r>
      <w:r w:rsidR="005D2F45">
        <w:t>resourced by the Library</w:t>
      </w:r>
      <w:r w:rsidR="005D2F45" w:rsidRPr="005D2F45">
        <w:t>.</w:t>
      </w:r>
    </w:p>
    <w:p w14:paraId="067D35E3" w14:textId="77777777" w:rsidR="005553F4" w:rsidRDefault="005553F4" w:rsidP="00142773"/>
    <w:p w14:paraId="078DEB23" w14:textId="49A6518C" w:rsidR="00743640" w:rsidRDefault="00142773" w:rsidP="00142773">
      <w:r>
        <w:t>Researchers across all disciplines are acquiring basic software development and computational data management and analysis skills. Both Software Carpentry and Data Carpentry are not-for-profit organisations whose volunteer members teach researchers basic skills in these areas. In the case of Software Carpentry</w:t>
      </w:r>
      <w:r w:rsidR="00B267AF">
        <w:t>,</w:t>
      </w:r>
      <w:r>
        <w:t xml:space="preserve"> basic programming workshops are delivered to researchers world-wide by volunteer trainers. Data Carpentry focuses on fundamental domain-specific data management and analysis skills for audiences with </w:t>
      </w:r>
      <w:r w:rsidR="009F7F47">
        <w:t>‘</w:t>
      </w:r>
      <w:r>
        <w:t>little to no prior computational experience</w:t>
      </w:r>
      <w:r w:rsidR="009F7F47">
        <w:t>’</w:t>
      </w:r>
      <w:r>
        <w:t xml:space="preserve"> </w:t>
      </w:r>
      <w:r w:rsidR="00222FF6">
        <w:t>(</w:t>
      </w:r>
      <w:r w:rsidR="009F7F47">
        <w:t>datacarpentry.org</w:t>
      </w:r>
      <w:r>
        <w:t xml:space="preserve">). </w:t>
      </w:r>
      <w:r w:rsidR="00B267AF">
        <w:t>The University of Melbourne’s Research Bazaar is the training component of the University’s Research Platform Services</w:t>
      </w:r>
      <w:r w:rsidR="00743640">
        <w:t xml:space="preserve"> and has delivered a number of Software Carpentry workshops</w:t>
      </w:r>
      <w:r w:rsidR="00B267AF">
        <w:t>. The Bazaar focuses on training and skill development through communities of practice</w:t>
      </w:r>
      <w:r w:rsidR="009F7F47">
        <w:t xml:space="preserve"> ‘</w:t>
      </w:r>
      <w:r w:rsidR="00743640">
        <w:t>where researchers from many different disciplines can come t</w:t>
      </w:r>
      <w:r w:rsidR="00222FF6">
        <w:t>ogether to share knowledge</w:t>
      </w:r>
      <w:r w:rsidR="009F7F47">
        <w:t>’</w:t>
      </w:r>
      <w:r w:rsidR="00222FF6">
        <w:t xml:space="preserve"> (melbourne.resbaz.edu.au</w:t>
      </w:r>
      <w:r w:rsidR="00743640">
        <w:t>)</w:t>
      </w:r>
      <w:r w:rsidR="00B267AF">
        <w:t>.</w:t>
      </w:r>
      <w:r w:rsidR="00743640">
        <w:t xml:space="preserve"> </w:t>
      </w:r>
      <w:r w:rsidR="00B267AF">
        <w:t xml:space="preserve"> </w:t>
      </w:r>
      <w:r w:rsidR="00743640">
        <w:t xml:space="preserve">A critical element to these programs is the fact they are run by researchers: </w:t>
      </w:r>
    </w:p>
    <w:p w14:paraId="7EA567B3" w14:textId="788EC406" w:rsidR="00743640" w:rsidRDefault="00743640" w:rsidP="00142773">
      <w:r>
        <w:rPr>
          <w:noProof/>
          <w:lang w:eastAsia="en-AU"/>
        </w:rPr>
        <mc:AlternateContent>
          <mc:Choice Requires="wps">
            <w:drawing>
              <wp:anchor distT="45720" distB="45720" distL="114300" distR="114300" simplePos="0" relativeHeight="251661312" behindDoc="0" locked="0" layoutInCell="1" allowOverlap="1" wp14:anchorId="7EFAB524" wp14:editId="6B2E7ED5">
                <wp:simplePos x="0" y="0"/>
                <wp:positionH relativeFrom="column">
                  <wp:posOffset>0</wp:posOffset>
                </wp:positionH>
                <wp:positionV relativeFrom="paragraph">
                  <wp:posOffset>45085</wp:posOffset>
                </wp:positionV>
                <wp:extent cx="5067300" cy="6953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695325"/>
                        </a:xfrm>
                        <a:prstGeom prst="rect">
                          <a:avLst/>
                        </a:prstGeom>
                        <a:solidFill>
                          <a:srgbClr val="FFFFFF"/>
                        </a:solidFill>
                        <a:ln w="9525">
                          <a:noFill/>
                          <a:miter lim="800000"/>
                          <a:headEnd/>
                          <a:tailEnd/>
                        </a:ln>
                      </wps:spPr>
                      <wps:txbx>
                        <w:txbxContent>
                          <w:p w14:paraId="1BC6B118" w14:textId="69A8CD58" w:rsidR="004C5FBE" w:rsidRDefault="004C5FBE" w:rsidP="00743640">
                            <w:r w:rsidRPr="00222FF6">
                              <w:t>“Unlike professional software developers, the researchers teaching our courses can remember what it’s like not to understand this stuff, which makes for a much better learning experience!”</w:t>
                            </w:r>
                            <w:r>
                              <w:t xml:space="preserve">  </w:t>
                            </w:r>
                          </w:p>
                          <w:p w14:paraId="26E43A48" w14:textId="77777777" w:rsidR="004C5FBE" w:rsidRDefault="004C5FBE" w:rsidP="007436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AB524" id="_x0000_s1027" type="#_x0000_t202" style="position:absolute;margin-left:0;margin-top:3.55pt;width:399pt;height:5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" stroked="f">
                <v:textbox>
                  <w:txbxContent>
                    <w:p w14:paraId="1BC6B118" w14:textId="69A8CD58" w:rsidR="004C5FBE" w:rsidRDefault="004C5FBE" w:rsidP="00743640">
                      <w:r w:rsidRPr="00222FF6">
                        <w:t>“Unlike professional software developers, the researchers teaching our courses can remember what it’s like not to understand this stuff, which makes for a much better learning experience!”</w:t>
                      </w:r>
                      <w:r>
                        <w:t xml:space="preserve">  </w:t>
                      </w:r>
                    </w:p>
                    <w:p w14:paraId="26E43A48" w14:textId="77777777" w:rsidR="004C5FBE" w:rsidRDefault="004C5FBE" w:rsidP="00743640"/>
                  </w:txbxContent>
                </v:textbox>
                <w10:wrap type="square"/>
              </v:shape>
            </w:pict>
          </mc:Fallback>
        </mc:AlternateContent>
      </w:r>
    </w:p>
    <w:p w14:paraId="2A8836BD" w14:textId="77777777" w:rsidR="00743640" w:rsidRDefault="00743640" w:rsidP="00142773"/>
    <w:p w14:paraId="46A8BC1D" w14:textId="77777777" w:rsidR="00743640" w:rsidRDefault="00743640" w:rsidP="00142773"/>
    <w:p w14:paraId="02721D8A" w14:textId="1691D352" w:rsidR="00142773" w:rsidRDefault="00142773" w:rsidP="00142773">
      <w:r>
        <w:t xml:space="preserve">The development of these skills enables researchers not only to adapt their research practices in light of existing technologies, but </w:t>
      </w:r>
      <w:r w:rsidR="0054609F">
        <w:t>more importantly to</w:t>
      </w:r>
      <w:r>
        <w:t xml:space="preserve"> adapt to new technologies and </w:t>
      </w:r>
      <w:r w:rsidR="0054609F">
        <w:t>develop</w:t>
      </w:r>
      <w:r>
        <w:t xml:space="preserve"> a </w:t>
      </w:r>
      <w:r w:rsidR="0054609F">
        <w:t>language</w:t>
      </w:r>
      <w:r>
        <w:t xml:space="preserve"> that enables effective collaboration with technologists. Organisations who have been down this path suggest agility, mobility and creativity are attributes that are as, if not more, important than the ability to work with specific technologies. Likewise, collaborative competencies and a learning mindset are critical in this space. </w:t>
      </w:r>
    </w:p>
    <w:p w14:paraId="3AE83A9C" w14:textId="4416AAF5" w:rsidR="00142773" w:rsidRDefault="00142773" w:rsidP="00142773">
      <w:r>
        <w:t>Skill gaps and how these will be met is a key concern for the sustainabi</w:t>
      </w:r>
      <w:r w:rsidR="00222FF6">
        <w:t xml:space="preserve">lity of </w:t>
      </w:r>
      <w:proofErr w:type="spellStart"/>
      <w:r w:rsidR="00222FF6">
        <w:t>eResearch</w:t>
      </w:r>
      <w:proofErr w:type="spellEnd"/>
      <w:r w:rsidR="00222FF6">
        <w:t xml:space="preserve"> in Australia</w:t>
      </w:r>
      <w:r>
        <w:t xml:space="preserve">. The Status Report on the NCRIS </w:t>
      </w:r>
      <w:proofErr w:type="spellStart"/>
      <w:r>
        <w:t>eResearch</w:t>
      </w:r>
      <w:proofErr w:type="spellEnd"/>
      <w:r>
        <w:t xml:space="preserve"> Capability highlights the importance of establishing clear career pathways for </w:t>
      </w:r>
      <w:r w:rsidR="00743640">
        <w:t>technologists</w:t>
      </w:r>
      <w:r>
        <w:t xml:space="preserve">. The report makes clear recommendations that </w:t>
      </w:r>
      <w:r w:rsidR="009F7F47">
        <w:t>‘</w:t>
      </w:r>
      <w:r>
        <w:t>future framework planning consider the continuing need to address both research workforce and technical support skills and expertise, and take up the issue of preferred strategies at both in</w:t>
      </w:r>
      <w:r w:rsidR="009F7F47">
        <w:t>stitutional and national levels’</w:t>
      </w:r>
      <w:r w:rsidR="00222FF6">
        <w:t xml:space="preserve"> (Cochran, 2015 p</w:t>
      </w:r>
      <w:r w:rsidR="00D02368">
        <w:t>9)</w:t>
      </w:r>
      <w:r>
        <w:t xml:space="preserve">. </w:t>
      </w:r>
    </w:p>
    <w:p w14:paraId="7A1D549A" w14:textId="77777777" w:rsidR="00142773" w:rsidRDefault="00142773" w:rsidP="00142773"/>
    <w:p w14:paraId="5243814B" w14:textId="77777777" w:rsidR="00142773" w:rsidRDefault="00142773" w:rsidP="00142773"/>
    <w:p w14:paraId="349C9E02" w14:textId="77667902" w:rsidR="00647C16" w:rsidRDefault="00647C16" w:rsidP="00B96D19">
      <w:pPr>
        <w:rPr>
          <w:i/>
        </w:rPr>
      </w:pPr>
      <w:r>
        <w:rPr>
          <w:i/>
        </w:rPr>
        <w:t>5.1</w:t>
      </w:r>
      <w:proofErr w:type="gramStart"/>
      <w:r>
        <w:rPr>
          <w:i/>
        </w:rPr>
        <w:t>.d</w:t>
      </w:r>
      <w:proofErr w:type="gramEnd"/>
      <w:r>
        <w:rPr>
          <w:i/>
        </w:rPr>
        <w:t xml:space="preserve"> Institutional Strategies</w:t>
      </w:r>
    </w:p>
    <w:p w14:paraId="3888531A" w14:textId="03414F58" w:rsidR="00354B5F" w:rsidRDefault="00354B5F" w:rsidP="00F47B24">
      <w:pPr>
        <w:rPr>
          <w:bCs/>
        </w:rPr>
      </w:pPr>
      <w:r>
        <w:rPr>
          <w:bCs/>
        </w:rPr>
        <w:t xml:space="preserve">The development of </w:t>
      </w:r>
      <w:proofErr w:type="spellStart"/>
      <w:r>
        <w:rPr>
          <w:bCs/>
        </w:rPr>
        <w:t>eResearch</w:t>
      </w:r>
      <w:proofErr w:type="spellEnd"/>
      <w:r>
        <w:rPr>
          <w:bCs/>
        </w:rPr>
        <w:t xml:space="preserve"> strategies and support within </w:t>
      </w:r>
      <w:r w:rsidR="009E7D46">
        <w:rPr>
          <w:bCs/>
        </w:rPr>
        <w:t>Universities has progressed</w:t>
      </w:r>
      <w:r>
        <w:rPr>
          <w:bCs/>
        </w:rPr>
        <w:t xml:space="preserve"> at different paces over the last decade. The Queensland University of Technology first presented their approach to developing an </w:t>
      </w:r>
      <w:proofErr w:type="spellStart"/>
      <w:r>
        <w:rPr>
          <w:bCs/>
        </w:rPr>
        <w:t>eResearch</w:t>
      </w:r>
      <w:proofErr w:type="spellEnd"/>
      <w:r>
        <w:rPr>
          <w:bCs/>
        </w:rPr>
        <w:t xml:space="preserve"> strategy and support in 2008 </w:t>
      </w:r>
      <w:r w:rsidRPr="00A3077A">
        <w:rPr>
          <w:bCs/>
        </w:rPr>
        <w:t>(</w:t>
      </w:r>
      <w:r w:rsidR="00A3077A" w:rsidRPr="00A3077A">
        <w:rPr>
          <w:bCs/>
        </w:rPr>
        <w:t>Young and Young, 2009</w:t>
      </w:r>
      <w:r w:rsidRPr="00A3077A">
        <w:rPr>
          <w:bCs/>
        </w:rPr>
        <w:t>),</w:t>
      </w:r>
      <w:r>
        <w:rPr>
          <w:bCs/>
        </w:rPr>
        <w:t xml:space="preserve"> the Victoria University in New Zealand released their </w:t>
      </w:r>
      <w:proofErr w:type="spellStart"/>
      <w:r>
        <w:rPr>
          <w:bCs/>
        </w:rPr>
        <w:t>eResearch</w:t>
      </w:r>
      <w:proofErr w:type="spellEnd"/>
      <w:r>
        <w:rPr>
          <w:bCs/>
        </w:rPr>
        <w:t xml:space="preserve"> Capability Building Strategy</w:t>
      </w:r>
      <w:r w:rsidR="009F7F47">
        <w:rPr>
          <w:rStyle w:val="FootnoteReference"/>
          <w:bCs/>
        </w:rPr>
        <w:footnoteReference w:id="25"/>
      </w:r>
      <w:r>
        <w:rPr>
          <w:bCs/>
        </w:rPr>
        <w:t xml:space="preserve"> in the same year, while the University of Cape Town has in 2015 recognised </w:t>
      </w:r>
      <w:proofErr w:type="spellStart"/>
      <w:r>
        <w:rPr>
          <w:bCs/>
        </w:rPr>
        <w:t>eResearch</w:t>
      </w:r>
      <w:proofErr w:type="spellEnd"/>
      <w:r>
        <w:rPr>
          <w:bCs/>
        </w:rPr>
        <w:t xml:space="preserve"> as central to research support as part of their 2015-2025 strategy</w:t>
      </w:r>
      <w:r w:rsidR="009F7F47">
        <w:rPr>
          <w:rStyle w:val="FootnoteReference"/>
          <w:bCs/>
        </w:rPr>
        <w:footnoteReference w:id="26"/>
      </w:r>
      <w:r>
        <w:rPr>
          <w:bCs/>
        </w:rPr>
        <w:t xml:space="preserve">. </w:t>
      </w:r>
      <w:r w:rsidR="00C27916">
        <w:rPr>
          <w:bCs/>
        </w:rPr>
        <w:t xml:space="preserve">Others do not address </w:t>
      </w:r>
      <w:proofErr w:type="spellStart"/>
      <w:r w:rsidR="00553B8E">
        <w:rPr>
          <w:bCs/>
        </w:rPr>
        <w:t>eResearch</w:t>
      </w:r>
      <w:proofErr w:type="spellEnd"/>
      <w:r w:rsidR="00553B8E">
        <w:rPr>
          <w:bCs/>
        </w:rPr>
        <w:t xml:space="preserve"> explicit</w:t>
      </w:r>
      <w:r w:rsidR="00C27916">
        <w:rPr>
          <w:bCs/>
        </w:rPr>
        <w:t>ly</w:t>
      </w:r>
      <w:r w:rsidR="00553B8E">
        <w:rPr>
          <w:bCs/>
        </w:rPr>
        <w:t xml:space="preserve"> in organisational strategies but </w:t>
      </w:r>
      <w:r w:rsidR="00C27916">
        <w:rPr>
          <w:bCs/>
        </w:rPr>
        <w:t xml:space="preserve">approach this via </w:t>
      </w:r>
      <w:r w:rsidR="00553B8E">
        <w:rPr>
          <w:bCs/>
        </w:rPr>
        <w:t xml:space="preserve">a number of </w:t>
      </w:r>
      <w:r w:rsidR="00C27916">
        <w:rPr>
          <w:bCs/>
        </w:rPr>
        <w:t xml:space="preserve">research </w:t>
      </w:r>
      <w:r w:rsidR="00553B8E">
        <w:rPr>
          <w:bCs/>
        </w:rPr>
        <w:t>infra</w:t>
      </w:r>
      <w:r w:rsidR="00C27916">
        <w:rPr>
          <w:bCs/>
        </w:rPr>
        <w:t>structure and support initiatives.</w:t>
      </w:r>
    </w:p>
    <w:p w14:paraId="1C4DA6DE" w14:textId="0B8F3456" w:rsidR="009E7D46" w:rsidRDefault="00354B5F" w:rsidP="00F47B24">
      <w:r>
        <w:rPr>
          <w:bCs/>
        </w:rPr>
        <w:t xml:space="preserve">Commonly, </w:t>
      </w:r>
      <w:proofErr w:type="spellStart"/>
      <w:r w:rsidR="00703F73">
        <w:rPr>
          <w:bCs/>
        </w:rPr>
        <w:t>eResearch</w:t>
      </w:r>
      <w:proofErr w:type="spellEnd"/>
      <w:r w:rsidR="00703F73">
        <w:rPr>
          <w:bCs/>
        </w:rPr>
        <w:t xml:space="preserve"> </w:t>
      </w:r>
      <w:r>
        <w:rPr>
          <w:bCs/>
        </w:rPr>
        <w:t xml:space="preserve">strategies seek to </w:t>
      </w:r>
      <w:r w:rsidR="00931E55">
        <w:rPr>
          <w:bCs/>
        </w:rPr>
        <w:t>guide investment in infrastructure and technology, clarify</w:t>
      </w:r>
      <w:r>
        <w:rPr>
          <w:bCs/>
        </w:rPr>
        <w:t xml:space="preserve"> </w:t>
      </w:r>
      <w:r w:rsidR="00931E55">
        <w:rPr>
          <w:bCs/>
        </w:rPr>
        <w:t>centralised v. decentralised support, develop partnerships between IT, Libraries, Faculty Computing departments and the Research Office, guide the development of skills and careers</w:t>
      </w:r>
      <w:r w:rsidR="005942A6">
        <w:rPr>
          <w:bCs/>
        </w:rPr>
        <w:t xml:space="preserve"> and provide</w:t>
      </w:r>
      <w:r w:rsidR="00931E55">
        <w:rPr>
          <w:bCs/>
        </w:rPr>
        <w:t xml:space="preserve"> governance and communications structure</w:t>
      </w:r>
      <w:r w:rsidR="006B3D36">
        <w:rPr>
          <w:bCs/>
        </w:rPr>
        <w:t>s</w:t>
      </w:r>
      <w:r w:rsidR="00931E55">
        <w:rPr>
          <w:bCs/>
        </w:rPr>
        <w:t xml:space="preserve">. </w:t>
      </w:r>
    </w:p>
    <w:p w14:paraId="0B19C405" w14:textId="2B2FB060" w:rsidR="00931E55" w:rsidRDefault="00931E55" w:rsidP="00931E55">
      <w:r>
        <w:rPr>
          <w:bCs/>
        </w:rPr>
        <w:t>Advisory groups are common</w:t>
      </w:r>
      <w:r w:rsidR="009E7D46">
        <w:rPr>
          <w:bCs/>
        </w:rPr>
        <w:t xml:space="preserve"> features of organisational approaches</w:t>
      </w:r>
      <w:r>
        <w:rPr>
          <w:bCs/>
        </w:rPr>
        <w:t xml:space="preserve">. </w:t>
      </w:r>
      <w:r>
        <w:t xml:space="preserve">These groups are usually made up of representatives from IT, Library, Research Divisions and Faculties. The groups act as advisories to Deputy Vice-Chancellors of Research and serve as the central coordination and communication point for </w:t>
      </w:r>
      <w:proofErr w:type="spellStart"/>
      <w:r>
        <w:t>eResearch</w:t>
      </w:r>
      <w:proofErr w:type="spellEnd"/>
      <w:r>
        <w:t xml:space="preserve">. The ANU </w:t>
      </w:r>
      <w:proofErr w:type="spellStart"/>
      <w:r>
        <w:t>eResearch</w:t>
      </w:r>
      <w:proofErr w:type="spellEnd"/>
      <w:r>
        <w:t xml:space="preserve"> Reference Group</w:t>
      </w:r>
      <w:r>
        <w:rPr>
          <w:rStyle w:val="FootnoteReference"/>
        </w:rPr>
        <w:footnoteReference w:id="27"/>
      </w:r>
      <w:r>
        <w:t xml:space="preserve"> was set up to establish an </w:t>
      </w:r>
      <w:proofErr w:type="spellStart"/>
      <w:r>
        <w:t>eResearch</w:t>
      </w:r>
      <w:proofErr w:type="spellEnd"/>
      <w:r>
        <w:t xml:space="preserve"> strategy for the University, cultivate a culture of </w:t>
      </w:r>
      <w:proofErr w:type="spellStart"/>
      <w:r>
        <w:t>eResearch</w:t>
      </w:r>
      <w:proofErr w:type="spellEnd"/>
      <w:r>
        <w:t xml:space="preserve"> and to ensure </w:t>
      </w:r>
      <w:proofErr w:type="spellStart"/>
      <w:r>
        <w:t>eResearch</w:t>
      </w:r>
      <w:proofErr w:type="spellEnd"/>
      <w:r>
        <w:t xml:space="preserve"> governance is integrated with the university’s policies and guidelines. The </w:t>
      </w:r>
      <w:proofErr w:type="spellStart"/>
      <w:r>
        <w:t>eResearch</w:t>
      </w:r>
      <w:proofErr w:type="spellEnd"/>
      <w:r>
        <w:t xml:space="preserve"> Coordination Group</w:t>
      </w:r>
      <w:r>
        <w:rPr>
          <w:rStyle w:val="FootnoteReference"/>
        </w:rPr>
        <w:footnoteReference w:id="28"/>
      </w:r>
      <w:r>
        <w:t xml:space="preserve"> at UNSW is supported by both the DVCR and the Library. The Group provides a forum for UNSW </w:t>
      </w:r>
      <w:proofErr w:type="spellStart"/>
      <w:r>
        <w:t>eResearch</w:t>
      </w:r>
      <w:proofErr w:type="spellEnd"/>
      <w:r>
        <w:t xml:space="preserve"> activity and a contact point for researchers and external </w:t>
      </w:r>
      <w:proofErr w:type="spellStart"/>
      <w:r>
        <w:t>eResearch</w:t>
      </w:r>
      <w:proofErr w:type="spellEnd"/>
      <w:r>
        <w:t xml:space="preserve"> support services. </w:t>
      </w:r>
    </w:p>
    <w:p w14:paraId="77A3E8C3" w14:textId="2B94B71B" w:rsidR="00931E55" w:rsidRDefault="009E7D46" w:rsidP="00F47B24">
      <w:pPr>
        <w:rPr>
          <w:bCs/>
        </w:rPr>
      </w:pPr>
      <w:r>
        <w:rPr>
          <w:bCs/>
        </w:rPr>
        <w:t xml:space="preserve">In </w:t>
      </w:r>
      <w:r w:rsidR="005942A6">
        <w:rPr>
          <w:bCs/>
        </w:rPr>
        <w:t>response to funding body requirements,</w:t>
      </w:r>
      <w:r w:rsidRPr="009E7D46">
        <w:rPr>
          <w:bCs/>
        </w:rPr>
        <w:t xml:space="preserve"> </w:t>
      </w:r>
      <w:r>
        <w:rPr>
          <w:bCs/>
        </w:rPr>
        <w:t>data management plans and policies</w:t>
      </w:r>
      <w:r w:rsidR="005942A6">
        <w:rPr>
          <w:bCs/>
        </w:rPr>
        <w:t xml:space="preserve"> are also common. </w:t>
      </w:r>
      <w:r>
        <w:rPr>
          <w:bCs/>
        </w:rPr>
        <w:t>These are typically managed by the Library. UNSW Library requires completed data management plans from any researcher requesting allocation of storage on the</w:t>
      </w:r>
      <w:r w:rsidR="00553B8E">
        <w:rPr>
          <w:bCs/>
        </w:rPr>
        <w:t xml:space="preserve"> University’s</w:t>
      </w:r>
      <w:r>
        <w:rPr>
          <w:bCs/>
        </w:rPr>
        <w:t xml:space="preserve"> internal data repository. Others, such as Monash University, do not require researchers complete data management plans but</w:t>
      </w:r>
      <w:r w:rsidR="00553B8E">
        <w:rPr>
          <w:bCs/>
        </w:rPr>
        <w:t xml:space="preserve"> indicate on their data management resource pages</w:t>
      </w:r>
      <w:r>
        <w:rPr>
          <w:bCs/>
        </w:rPr>
        <w:t xml:space="preserve"> </w:t>
      </w:r>
      <w:r w:rsidR="009F7F47">
        <w:rPr>
          <w:bCs/>
        </w:rPr>
        <w:t>‘</w:t>
      </w:r>
      <w:r>
        <w:t>the University is likely to consider making a formal data management plan a requirement for applying for internal research funding and for confirming PhD candidature</w:t>
      </w:r>
      <w:r w:rsidR="009F7F47">
        <w:t>’</w:t>
      </w:r>
      <w:r w:rsidR="00387AAF">
        <w:t xml:space="preserve"> (</w:t>
      </w:r>
      <w:r w:rsidR="00F50958">
        <w:t>monash.edu.au</w:t>
      </w:r>
      <w:r w:rsidR="00387AAF">
        <w:t>)</w:t>
      </w:r>
      <w:r w:rsidR="00553B8E">
        <w:t xml:space="preserve">. </w:t>
      </w:r>
    </w:p>
    <w:p w14:paraId="3E475E39" w14:textId="03F88A04" w:rsidR="005942A6" w:rsidRDefault="005942A6" w:rsidP="005942A6">
      <w:r>
        <w:rPr>
          <w:bCs/>
        </w:rPr>
        <w:t xml:space="preserve">Delivery </w:t>
      </w:r>
      <w:r w:rsidR="00553B8E">
        <w:rPr>
          <w:bCs/>
        </w:rPr>
        <w:t xml:space="preserve">of </w:t>
      </w:r>
      <w:proofErr w:type="spellStart"/>
      <w:r w:rsidR="00553B8E">
        <w:rPr>
          <w:bCs/>
        </w:rPr>
        <w:t>eResearch</w:t>
      </w:r>
      <w:proofErr w:type="spellEnd"/>
      <w:r w:rsidR="00553B8E">
        <w:rPr>
          <w:bCs/>
        </w:rPr>
        <w:t xml:space="preserve"> service, advice and support </w:t>
      </w:r>
      <w:r>
        <w:rPr>
          <w:bCs/>
        </w:rPr>
        <w:t xml:space="preserve">varies </w:t>
      </w:r>
      <w:r w:rsidR="00553B8E">
        <w:rPr>
          <w:bCs/>
        </w:rPr>
        <w:t>across institutions</w:t>
      </w:r>
      <w:r>
        <w:rPr>
          <w:bCs/>
        </w:rPr>
        <w:t xml:space="preserve">. </w:t>
      </w:r>
      <w:r w:rsidR="00553B8E">
        <w:rPr>
          <w:bCs/>
        </w:rPr>
        <w:t xml:space="preserve">The scale of support ranges from the provision of data management support and access to data storage and HPC to the establishment of </w:t>
      </w:r>
      <w:proofErr w:type="spellStart"/>
      <w:r w:rsidR="00553B8E">
        <w:rPr>
          <w:bCs/>
        </w:rPr>
        <w:t>eResearch</w:t>
      </w:r>
      <w:proofErr w:type="spellEnd"/>
      <w:r w:rsidR="00553B8E">
        <w:rPr>
          <w:bCs/>
        </w:rPr>
        <w:t xml:space="preserve"> or Digital Humanities Centres.</w:t>
      </w:r>
      <w:r w:rsidR="00553B8E">
        <w:t xml:space="preserve"> The latter are often the driving force behind large-scale, high-impact </w:t>
      </w:r>
      <w:proofErr w:type="spellStart"/>
      <w:r w:rsidR="00553B8E">
        <w:t>eResearch</w:t>
      </w:r>
      <w:proofErr w:type="spellEnd"/>
      <w:r w:rsidR="00553B8E">
        <w:t xml:space="preserve"> projects.  </w:t>
      </w:r>
      <w:r>
        <w:t xml:space="preserve">Monash University, for example, is among a small group of universities leading </w:t>
      </w:r>
      <w:proofErr w:type="spellStart"/>
      <w:r>
        <w:t>eResearch</w:t>
      </w:r>
      <w:proofErr w:type="spellEnd"/>
      <w:r>
        <w:t xml:space="preserve"> in Australia. </w:t>
      </w:r>
      <w:r w:rsidRPr="00BF6A88">
        <w:t xml:space="preserve">The University has grown its </w:t>
      </w:r>
      <w:proofErr w:type="spellStart"/>
      <w:r w:rsidRPr="00BF6A88">
        <w:t>eResearch</w:t>
      </w:r>
      <w:proofErr w:type="spellEnd"/>
      <w:r w:rsidRPr="00BF6A88">
        <w:t xml:space="preserve"> Centre</w:t>
      </w:r>
      <w:r w:rsidRPr="00BF6A88">
        <w:rPr>
          <w:rStyle w:val="FootnoteReference"/>
        </w:rPr>
        <w:footnoteReference w:id="29"/>
      </w:r>
      <w:r w:rsidRPr="00BF6A88">
        <w:t xml:space="preserve"> from a staff of five in 2008 to its current complement</w:t>
      </w:r>
      <w:r w:rsidR="004D1327" w:rsidRPr="00BF6A88">
        <w:t xml:space="preserve"> </w:t>
      </w:r>
      <w:r w:rsidRPr="00BF6A88">
        <w:t>of 35.</w:t>
      </w:r>
      <w:r w:rsidR="004D1327">
        <w:t xml:space="preserve"> </w:t>
      </w:r>
      <w:r>
        <w:t xml:space="preserve"> </w:t>
      </w:r>
      <w:r w:rsidR="00BF6A88">
        <w:t xml:space="preserve">The majority of those staff are </w:t>
      </w:r>
      <w:r w:rsidR="00490E1D">
        <w:t>employed from grant funding</w:t>
      </w:r>
      <w:r w:rsidR="00BF6A88">
        <w:t xml:space="preserve"> money on </w:t>
      </w:r>
      <w:proofErr w:type="spellStart"/>
      <w:r w:rsidR="00BF6A88">
        <w:t>eResearch</w:t>
      </w:r>
      <w:proofErr w:type="spellEnd"/>
      <w:r w:rsidR="00BF6A88">
        <w:t xml:space="preserve"> projects whereby they have been key collaborators and partners on projects, rather than as technical support staff. </w:t>
      </w:r>
      <w:r>
        <w:t xml:space="preserve">Anecdotally, Director, Professor Paul </w:t>
      </w:r>
      <w:proofErr w:type="spellStart"/>
      <w:r>
        <w:t>Bonnington</w:t>
      </w:r>
      <w:proofErr w:type="spellEnd"/>
      <w:r>
        <w:t xml:space="preserve">, claims the capability and expertise provided by the Centre as a research </w:t>
      </w:r>
      <w:r>
        <w:lastRenderedPageBreak/>
        <w:t xml:space="preserve">partner was a key factor in the university winning two recent ARC Centres of Excellence (in </w:t>
      </w:r>
      <w:r w:rsidRPr="00DA33BA">
        <w:rPr>
          <w:bCs/>
        </w:rPr>
        <w:t>Integrated Brain Function and Advanced Molecular Imaging</w:t>
      </w:r>
      <w:r>
        <w:rPr>
          <w:bCs/>
        </w:rPr>
        <w:t>)</w:t>
      </w:r>
      <w:r>
        <w:t xml:space="preserve">. </w:t>
      </w:r>
    </w:p>
    <w:p w14:paraId="1E602D83" w14:textId="5AE9E846" w:rsidR="005942A6" w:rsidRDefault="005942A6" w:rsidP="005942A6">
      <w:pPr>
        <w:rPr>
          <w:bCs/>
        </w:rPr>
      </w:pPr>
      <w:r>
        <w:rPr>
          <w:bCs/>
        </w:rPr>
        <w:t>The Department of Digital Humanities at Kings College London</w:t>
      </w:r>
      <w:r>
        <w:rPr>
          <w:rStyle w:val="FootnoteReference"/>
          <w:bCs/>
        </w:rPr>
        <w:footnoteReference w:id="30"/>
      </w:r>
      <w:r>
        <w:rPr>
          <w:bCs/>
        </w:rPr>
        <w:t xml:space="preserve"> has helped generate over 17 million pounds in research income over the last 15 years. Researchers collaborate on national and international research teams across a range of humanities disciplines as well as addressing </w:t>
      </w:r>
      <w:proofErr w:type="spellStart"/>
      <w:r>
        <w:rPr>
          <w:bCs/>
        </w:rPr>
        <w:t>eResearch</w:t>
      </w:r>
      <w:proofErr w:type="spellEnd"/>
      <w:r>
        <w:rPr>
          <w:bCs/>
        </w:rPr>
        <w:t xml:space="preserve"> challenges through projects such as PERICLES</w:t>
      </w:r>
      <w:r>
        <w:rPr>
          <w:rStyle w:val="FootnoteReference"/>
          <w:bCs/>
        </w:rPr>
        <w:footnoteReference w:id="31"/>
      </w:r>
      <w:r>
        <w:rPr>
          <w:bCs/>
        </w:rPr>
        <w:t xml:space="preserve"> which aims to</w:t>
      </w:r>
      <w:r>
        <w:t xml:space="preserve"> address the difficulty of safeguarding digital content in an environment that is subject to continual change</w:t>
      </w:r>
      <w:r>
        <w:rPr>
          <w:bCs/>
        </w:rPr>
        <w:t xml:space="preserve">. </w:t>
      </w:r>
    </w:p>
    <w:p w14:paraId="125D6E29" w14:textId="19CA2860" w:rsidR="00B73C41" w:rsidRDefault="009C169F" w:rsidP="002D275C">
      <w:r>
        <w:t xml:space="preserve">Those institutions with established </w:t>
      </w:r>
      <w:proofErr w:type="spellStart"/>
      <w:r>
        <w:t>eResearch</w:t>
      </w:r>
      <w:proofErr w:type="spellEnd"/>
      <w:r>
        <w:t xml:space="preserve"> or Digital Humanities Centres have developed and are continuing to develop the in-house capability to drive competitive </w:t>
      </w:r>
      <w:proofErr w:type="spellStart"/>
      <w:r>
        <w:t>eResearch</w:t>
      </w:r>
      <w:proofErr w:type="spellEnd"/>
      <w:r>
        <w:t xml:space="preserve"> practice.</w:t>
      </w:r>
      <w:r w:rsidR="00A14998">
        <w:t xml:space="preserve"> </w:t>
      </w:r>
      <w:r w:rsidR="00081DD9">
        <w:t>Exemplars, as discussed</w:t>
      </w:r>
      <w:r w:rsidR="00A14998">
        <w:t xml:space="preserve"> on th</w:t>
      </w:r>
      <w:r w:rsidR="00087875">
        <w:t>is and the</w:t>
      </w:r>
      <w:r w:rsidR="00A14998">
        <w:t xml:space="preserve"> previous page</w:t>
      </w:r>
      <w:r w:rsidR="00081DD9">
        <w:t xml:space="preserve"> include Mona</w:t>
      </w:r>
      <w:r w:rsidR="00B73C41">
        <w:t>sh University and Kings College</w:t>
      </w:r>
      <w:r w:rsidR="00081DD9">
        <w:t xml:space="preserve">. </w:t>
      </w:r>
      <w:r w:rsidR="00DB490A">
        <w:t xml:space="preserve">With reference to the </w:t>
      </w:r>
      <w:r w:rsidR="00387AAF">
        <w:t xml:space="preserve">breadth of </w:t>
      </w:r>
      <w:proofErr w:type="spellStart"/>
      <w:r w:rsidR="00387AAF">
        <w:t>eResearch</w:t>
      </w:r>
      <w:proofErr w:type="spellEnd"/>
      <w:r w:rsidR="00DB490A">
        <w:t xml:space="preserve"> roles listed on page 9, technical support roles may exist in </w:t>
      </w:r>
      <w:proofErr w:type="spellStart"/>
      <w:r w:rsidR="00DB490A">
        <w:t>eResearch</w:t>
      </w:r>
      <w:proofErr w:type="spellEnd"/>
      <w:r w:rsidR="00DB490A">
        <w:t xml:space="preserve"> or Digital Humanities Centres, in IT departments, in Faculties or Departments (usually employed as contractors), or through a combination of these. </w:t>
      </w:r>
      <w:r w:rsidR="00B73C41">
        <w:t>External funding enable organisations to employ technical specialists on “soft” money but this practise is potentially unsustainable for the longer-term growth of capability within organisations. This is a challenge given that reliance on grant funding influences the work institutions do and the personnel they hire. D</w:t>
      </w:r>
      <w:r w:rsidR="00DB490A">
        <w:t xml:space="preserve">ata management support, including the institutional repository, is most often the domain of the University Library. </w:t>
      </w:r>
      <w:r w:rsidR="00B73C41">
        <w:t xml:space="preserve">The Research Office also plays a role in the provision of data management advice. </w:t>
      </w:r>
      <w:r w:rsidR="00945BA9">
        <w:t>Regardless of the model used for service deli</w:t>
      </w:r>
      <w:r w:rsidR="00387AAF">
        <w:t>very there needs to be cohesion between</w:t>
      </w:r>
      <w:r w:rsidR="00945BA9">
        <w:t xml:space="preserve"> service providers so users know which service to use and where to go for it. </w:t>
      </w:r>
    </w:p>
    <w:p w14:paraId="69D67C7C" w14:textId="682059CC" w:rsidR="00101D5B" w:rsidRDefault="00087875" w:rsidP="002D275C">
      <w:r>
        <w:t>G</w:t>
      </w:r>
      <w:r w:rsidR="00A14998">
        <w:t xml:space="preserve">iven </w:t>
      </w:r>
      <w:r>
        <w:t xml:space="preserve">concerns about </w:t>
      </w:r>
      <w:r w:rsidR="00A14998">
        <w:t>skills shortages raised in the NCRIS Status Report and the short-term nature of competit</w:t>
      </w:r>
      <w:r w:rsidR="00DB490A">
        <w:t xml:space="preserve">ive funding, </w:t>
      </w:r>
      <w:r w:rsidR="00C230E1">
        <w:t>the challenges associated with either developing in house expertise or buying this expertise in are real concerns for individual universities a</w:t>
      </w:r>
      <w:r w:rsidR="00BD488F">
        <w:t xml:space="preserve">nd the sector more broadly. </w:t>
      </w:r>
      <w:r w:rsidR="00B73C41">
        <w:t>In addition to this, Universities need to consider the type of skills researchers require to work in this space, as described on page</w:t>
      </w:r>
      <w:r w:rsidR="00F50958">
        <w:t>s 9 and</w:t>
      </w:r>
      <w:r w:rsidR="00B73C41">
        <w:t xml:space="preserve"> 10. Training is needed from undergraduate through to Higher Degree Research programs, in addition to the existing research workforce. </w:t>
      </w:r>
      <w:r w:rsidR="00D72BA5">
        <w:t xml:space="preserve">Kings College delivers </w:t>
      </w:r>
      <w:r w:rsidR="00D72BA5">
        <w:rPr>
          <w:bCs/>
        </w:rPr>
        <w:t>a digital humanities teaching program to undergraduates and postgraduate coursework and research cohorts. Other approaches</w:t>
      </w:r>
      <w:r w:rsidR="00F50958">
        <w:rPr>
          <w:bCs/>
        </w:rPr>
        <w:t xml:space="preserve"> may</w:t>
      </w:r>
      <w:r w:rsidR="00D72BA5">
        <w:rPr>
          <w:bCs/>
        </w:rPr>
        <w:t xml:space="preserve"> </w:t>
      </w:r>
      <w:r w:rsidR="00D72BA5">
        <w:t>include</w:t>
      </w:r>
      <w:r w:rsidR="00F50958">
        <w:t xml:space="preserve"> </w:t>
      </w:r>
      <w:r w:rsidR="00B73C41">
        <w:t>giving curriculum credit by pairing up undergraduates with Faculty leaders to solve Facu</w:t>
      </w:r>
      <w:r w:rsidR="00F50958">
        <w:t xml:space="preserve">lty digital humanities problems. </w:t>
      </w:r>
      <w:r w:rsidR="00101D5B">
        <w:t xml:space="preserve"> </w:t>
      </w:r>
    </w:p>
    <w:p w14:paraId="6A461E41" w14:textId="4F5DFA14" w:rsidR="00C230E1" w:rsidRDefault="00101D5B" w:rsidP="002D275C">
      <w:r>
        <w:t xml:space="preserve">The Maryland Institute for </w:t>
      </w:r>
      <w:r w:rsidR="00F50958">
        <w:t>Technology in the Humanities has</w:t>
      </w:r>
      <w:r>
        <w:t xml:space="preserve"> developed Faculty Fellowships that allow researchers to take time out from teaching to develop Digital Humanities projects. The Institute also runs a Digital Humanities Incubator series</w:t>
      </w:r>
      <w:r>
        <w:rPr>
          <w:rStyle w:val="FootnoteReference"/>
        </w:rPr>
        <w:footnoteReference w:id="32"/>
      </w:r>
      <w:r>
        <w:t xml:space="preserve">, designed to ‘acculturate’ scholars, librarians and students in the practice. </w:t>
      </w:r>
      <w:r w:rsidR="00945BA9">
        <w:t xml:space="preserve">The University of </w:t>
      </w:r>
      <w:r w:rsidR="00C374B5">
        <w:t>Melbourne Research Bazaar model promotes the development of communities of practice. This approach appears to be popular in the humanities as well as the sciences and works on th</w:t>
      </w:r>
      <w:r w:rsidR="00387AAF">
        <w:t>e basis that researcher</w:t>
      </w:r>
      <w:r w:rsidR="00C374B5">
        <w:t xml:space="preserve"> leader</w:t>
      </w:r>
      <w:r w:rsidR="00387AAF">
        <w:t>s</w:t>
      </w:r>
      <w:r w:rsidR="00C374B5">
        <w:t xml:space="preserve"> learn alongside junior staff and a culture of learning and experimentation is encouraged. </w:t>
      </w:r>
    </w:p>
    <w:p w14:paraId="53B60024" w14:textId="77777777" w:rsidR="00F34DA9" w:rsidRDefault="00F34DA9" w:rsidP="002D275C"/>
    <w:p w14:paraId="72EC781C" w14:textId="49747BD4" w:rsidR="000D7B90" w:rsidRPr="000D7B90" w:rsidRDefault="00B81B7C" w:rsidP="002D275C">
      <w:pPr>
        <w:rPr>
          <w:b/>
        </w:rPr>
      </w:pPr>
      <w:r>
        <w:rPr>
          <w:b/>
        </w:rPr>
        <w:br w:type="page"/>
      </w:r>
      <w:r w:rsidR="000D6BFE">
        <w:rPr>
          <w:b/>
        </w:rPr>
        <w:lastRenderedPageBreak/>
        <w:t xml:space="preserve">5.2. </w:t>
      </w:r>
      <w:r w:rsidR="000D7B90" w:rsidRPr="000D7B90">
        <w:rPr>
          <w:b/>
        </w:rPr>
        <w:t xml:space="preserve">Macquarie University </w:t>
      </w:r>
      <w:proofErr w:type="spellStart"/>
      <w:r w:rsidR="000D7B90" w:rsidRPr="000D7B90">
        <w:rPr>
          <w:b/>
        </w:rPr>
        <w:t>eResearch</w:t>
      </w:r>
      <w:proofErr w:type="spellEnd"/>
      <w:r w:rsidR="000D7B90" w:rsidRPr="000D7B90">
        <w:rPr>
          <w:b/>
        </w:rPr>
        <w:t xml:space="preserve"> Activity</w:t>
      </w:r>
    </w:p>
    <w:p w14:paraId="74C8C3ED" w14:textId="055DBA96" w:rsidR="002D275C" w:rsidRDefault="00835856" w:rsidP="002D275C">
      <w:r>
        <w:t>Macquarie’s</w:t>
      </w:r>
      <w:r w:rsidR="00EB2261">
        <w:t xml:space="preserve"> activity to</w:t>
      </w:r>
      <w:r w:rsidR="000D7B90">
        <w:t xml:space="preserve"> date</w:t>
      </w:r>
      <w:r w:rsidR="002D275C">
        <w:t xml:space="preserve"> </w:t>
      </w:r>
      <w:r w:rsidR="00EB2261">
        <w:t>is</w:t>
      </w:r>
      <w:r w:rsidR="002D275C">
        <w:t xml:space="preserve"> summarised below and demonstrate</w:t>
      </w:r>
      <w:r w:rsidR="00EB2261">
        <w:t>s</w:t>
      </w:r>
      <w:r w:rsidR="002D275C">
        <w:t xml:space="preserve"> some engagement with </w:t>
      </w:r>
      <w:proofErr w:type="spellStart"/>
      <w:r w:rsidR="002D275C">
        <w:t>eResearch</w:t>
      </w:r>
      <w:proofErr w:type="spellEnd"/>
      <w:r w:rsidR="002D275C">
        <w:t xml:space="preserve"> across the University and in collaboration with external partners. A list of projects and activities is also </w:t>
      </w:r>
      <w:r w:rsidR="002D275C" w:rsidRPr="00D827E3">
        <w:t xml:space="preserve">available at appendix </w:t>
      </w:r>
      <w:r w:rsidR="0095489B" w:rsidRPr="00D827E3">
        <w:t>2</w:t>
      </w:r>
      <w:r w:rsidR="002D275C" w:rsidRPr="00EF5B3F">
        <w:t xml:space="preserve">. </w:t>
      </w:r>
    </w:p>
    <w:p w14:paraId="16DF9F9A" w14:textId="77777777" w:rsidR="00EB2261" w:rsidRPr="00EB2261" w:rsidRDefault="00EB2261" w:rsidP="00EB2261">
      <w:pPr>
        <w:pStyle w:val="ListParagraph"/>
        <w:numPr>
          <w:ilvl w:val="0"/>
          <w:numId w:val="6"/>
        </w:numPr>
      </w:pPr>
      <w:r w:rsidRPr="00EB2261">
        <w:t>Infrastructure</w:t>
      </w:r>
    </w:p>
    <w:p w14:paraId="1BFA87CD" w14:textId="405B6CBD" w:rsidR="00EB2261" w:rsidRPr="0083494A" w:rsidRDefault="00EB2261" w:rsidP="00EB2261">
      <w:pPr>
        <w:rPr>
          <w:i/>
        </w:rPr>
      </w:pPr>
      <w:r w:rsidRPr="0083494A">
        <w:rPr>
          <w:i/>
        </w:rPr>
        <w:t xml:space="preserve">Data </w:t>
      </w:r>
      <w:r w:rsidR="00835856">
        <w:rPr>
          <w:i/>
        </w:rPr>
        <w:t>M</w:t>
      </w:r>
      <w:r w:rsidRPr="0083494A">
        <w:rPr>
          <w:i/>
        </w:rPr>
        <w:t>anagement</w:t>
      </w:r>
      <w:r w:rsidR="001C4CA1">
        <w:rPr>
          <w:i/>
        </w:rPr>
        <w:t xml:space="preserve"> and High Performance Computing</w:t>
      </w:r>
      <w:r w:rsidR="00835856">
        <w:rPr>
          <w:i/>
        </w:rPr>
        <w:t xml:space="preserve"> (HPC)</w:t>
      </w:r>
    </w:p>
    <w:p w14:paraId="7538876E" w14:textId="080D5297" w:rsidR="00EB2261" w:rsidRDefault="00EB2261" w:rsidP="00EB2261">
      <w:r>
        <w:t xml:space="preserve">The Information Technology </w:t>
      </w:r>
      <w:r w:rsidR="00835856">
        <w:t>unit</w:t>
      </w:r>
      <w:r>
        <w:t xml:space="preserve"> is dri</w:t>
      </w:r>
      <w:r w:rsidR="00FE5C79">
        <w:t xml:space="preserve">ving </w:t>
      </w:r>
      <w:r w:rsidR="002C6DC5">
        <w:t xml:space="preserve">needed changes in this area. The </w:t>
      </w:r>
      <w:r w:rsidR="00835856">
        <w:t>unit</w:t>
      </w:r>
      <w:r w:rsidR="002C6DC5">
        <w:t xml:space="preserve"> </w:t>
      </w:r>
      <w:r>
        <w:t xml:space="preserve">is currently </w:t>
      </w:r>
      <w:r w:rsidR="0077499A">
        <w:t>drafting</w:t>
      </w:r>
      <w:r>
        <w:t xml:space="preserve"> </w:t>
      </w:r>
      <w:r w:rsidR="002C6DC5">
        <w:t>a call</w:t>
      </w:r>
      <w:r w:rsidR="00835856">
        <w:t>-</w:t>
      </w:r>
      <w:r w:rsidR="002C6DC5">
        <w:t>for</w:t>
      </w:r>
      <w:r w:rsidR="00835856">
        <w:t>-</w:t>
      </w:r>
      <w:r w:rsidR="002C6DC5">
        <w:t xml:space="preserve">tender for </w:t>
      </w:r>
      <w:r>
        <w:t>new data storage and compute facilit</w:t>
      </w:r>
      <w:r w:rsidR="00835856">
        <w:t>ies</w:t>
      </w:r>
      <w:r w:rsidR="00490E1D">
        <w:t xml:space="preserve"> for the University. </w:t>
      </w:r>
      <w:r w:rsidR="002C6DC5">
        <w:t>The absence of</w:t>
      </w:r>
      <w:r w:rsidR="004C066B">
        <w:t xml:space="preserve"> adequate data storage</w:t>
      </w:r>
      <w:r w:rsidR="00490E1D">
        <w:t xml:space="preserve"> and data storage practices </w:t>
      </w:r>
      <w:r w:rsidR="004C066B">
        <w:t>has been</w:t>
      </w:r>
      <w:r w:rsidR="002C6DC5">
        <w:t xml:space="preserve"> perceived as a weakness for the University</w:t>
      </w:r>
      <w:r w:rsidR="00411FD3">
        <w:t xml:space="preserve"> by those in our consultation groups</w:t>
      </w:r>
      <w:r w:rsidR="002C6DC5">
        <w:t xml:space="preserve">.  It has left </w:t>
      </w:r>
      <w:r w:rsidR="00835856">
        <w:t>the University open to risk as data are</w:t>
      </w:r>
      <w:r w:rsidR="002C6DC5">
        <w:t xml:space="preserve"> stored in unreliable</w:t>
      </w:r>
      <w:r w:rsidR="00835856">
        <w:t>, inconsistent and inaccessible</w:t>
      </w:r>
      <w:r w:rsidR="002C6DC5">
        <w:t xml:space="preserve"> ways and curtails the extent to which </w:t>
      </w:r>
      <w:r w:rsidR="00835856">
        <w:t>the University</w:t>
      </w:r>
      <w:r w:rsidR="002C6DC5">
        <w:t xml:space="preserve"> can acquire </w:t>
      </w:r>
      <w:r w:rsidR="00835856">
        <w:t xml:space="preserve">and access </w:t>
      </w:r>
      <w:r w:rsidR="002C6DC5">
        <w:t>large research datasets.</w:t>
      </w:r>
    </w:p>
    <w:p w14:paraId="51CB58C3" w14:textId="3ADCAA7A" w:rsidR="00EB2261" w:rsidRDefault="002C6DC5" w:rsidP="00EB2261">
      <w:r>
        <w:t>In parallel to the work being</w:t>
      </w:r>
      <w:r w:rsidR="00411FD3">
        <w:t xml:space="preserve"> done through the I</w:t>
      </w:r>
      <w:r w:rsidR="00835856">
        <w:t xml:space="preserve">nformation </w:t>
      </w:r>
      <w:r w:rsidR="00411FD3">
        <w:t>T</w:t>
      </w:r>
      <w:r w:rsidR="00835856">
        <w:t>echnology</w:t>
      </w:r>
      <w:r w:rsidR="00411FD3">
        <w:t xml:space="preserve"> </w:t>
      </w:r>
      <w:r w:rsidR="00835856">
        <w:t>unit</w:t>
      </w:r>
      <w:r w:rsidR="00411FD3">
        <w:t xml:space="preserve"> it will be</w:t>
      </w:r>
      <w:r>
        <w:t xml:space="preserve"> important</w:t>
      </w:r>
      <w:r w:rsidR="00EB2261">
        <w:t xml:space="preserve"> </w:t>
      </w:r>
      <w:r w:rsidR="00835856">
        <w:t>the University</w:t>
      </w:r>
      <w:r w:rsidR="00FE5C79">
        <w:t xml:space="preserve"> implement</w:t>
      </w:r>
      <w:r w:rsidR="00835856">
        <w:t xml:space="preserve"> its </w:t>
      </w:r>
      <w:r w:rsidR="007D7EA5">
        <w:t>draft Data Management P</w:t>
      </w:r>
      <w:r w:rsidR="00EB2261">
        <w:t xml:space="preserve">olicy and the accompanying Data Management Plan Template. </w:t>
      </w:r>
      <w:r w:rsidR="00FE5C79">
        <w:t xml:space="preserve">These documents were outcomes of the </w:t>
      </w:r>
      <w:r w:rsidR="00FE5C79" w:rsidRPr="00434DE4">
        <w:rPr>
          <w:i/>
        </w:rPr>
        <w:t>Seeding the Commons</w:t>
      </w:r>
      <w:r w:rsidR="00FE5C79">
        <w:t xml:space="preserve"> project (described </w:t>
      </w:r>
      <w:r w:rsidR="00835856">
        <w:t xml:space="preserve">below </w:t>
      </w:r>
      <w:r w:rsidR="00FE5C79">
        <w:t>under the heading Insti</w:t>
      </w:r>
      <w:r w:rsidR="00411FD3">
        <w:t xml:space="preserve">tutional Projects) and have yet to be integrated into research management practice. The </w:t>
      </w:r>
      <w:r w:rsidR="00835856">
        <w:t>P</w:t>
      </w:r>
      <w:r w:rsidR="007D7EA5">
        <w:t>olicy</w:t>
      </w:r>
      <w:r w:rsidR="00EB2261">
        <w:t xml:space="preserve"> has </w:t>
      </w:r>
      <w:r w:rsidR="00A36F91">
        <w:t>not</w:t>
      </w:r>
      <w:r w:rsidR="00EB2261">
        <w:t xml:space="preserve"> </w:t>
      </w:r>
      <w:r w:rsidR="00A36F91">
        <w:t>been ratified</w:t>
      </w:r>
      <w:r w:rsidR="00411FD3">
        <w:t xml:space="preserve"> and the </w:t>
      </w:r>
      <w:r w:rsidR="00835856">
        <w:t>D</w:t>
      </w:r>
      <w:r w:rsidR="00EB2261">
        <w:t>ata</w:t>
      </w:r>
      <w:r w:rsidR="00411FD3">
        <w:t xml:space="preserve"> </w:t>
      </w:r>
      <w:r w:rsidR="00835856">
        <w:t>M</w:t>
      </w:r>
      <w:r w:rsidR="00411FD3">
        <w:t xml:space="preserve">anagement </w:t>
      </w:r>
      <w:r w:rsidR="00835856">
        <w:t>P</w:t>
      </w:r>
      <w:r w:rsidR="00411FD3">
        <w:t xml:space="preserve">lan </w:t>
      </w:r>
      <w:r w:rsidR="00835856">
        <w:t>T</w:t>
      </w:r>
      <w:r w:rsidR="00FE5C79">
        <w:t xml:space="preserve">emplate is </w:t>
      </w:r>
      <w:proofErr w:type="gramStart"/>
      <w:r w:rsidR="00FE5C79">
        <w:t>neither</w:t>
      </w:r>
      <w:r w:rsidR="004F5B3C">
        <w:t xml:space="preserve"> </w:t>
      </w:r>
      <w:r w:rsidR="00EB2261">
        <w:t>widely known about or</w:t>
      </w:r>
      <w:proofErr w:type="gramEnd"/>
      <w:r w:rsidR="00EB2261">
        <w:t xml:space="preserve"> used. Given the requirement from funding bodies that we clearly articulate</w:t>
      </w:r>
      <w:r w:rsidR="00FE5C79">
        <w:t xml:space="preserve"> our data management plans</w:t>
      </w:r>
      <w:r w:rsidR="00EB2261">
        <w:t xml:space="preserve"> these documents must be revisited </w:t>
      </w:r>
      <w:r w:rsidR="00FE5C79">
        <w:t>and made</w:t>
      </w:r>
      <w:r w:rsidR="00EB2261">
        <w:t xml:space="preserve"> operational. Doing so w</w:t>
      </w:r>
      <w:r w:rsidR="00FE5C79">
        <w:t xml:space="preserve">ill provide our researchers </w:t>
      </w:r>
      <w:r w:rsidR="00EB2261">
        <w:t>with much needed guidance regarding their data management re</w:t>
      </w:r>
      <w:r w:rsidR="00FE5C79">
        <w:t>sponsibilities,</w:t>
      </w:r>
      <w:r w:rsidR="00EB479E">
        <w:t xml:space="preserve"> and the</w:t>
      </w:r>
      <w:r w:rsidR="00FE5C79">
        <w:t xml:space="preserve"> </w:t>
      </w:r>
      <w:r w:rsidR="00EB2261">
        <w:t>support and resources available to them.</w:t>
      </w:r>
    </w:p>
    <w:p w14:paraId="23912D06" w14:textId="58C1F24B" w:rsidR="000B0635" w:rsidRDefault="001C4CA1" w:rsidP="00EB2261">
      <w:r w:rsidRPr="001C4CA1">
        <w:t>Coupled with the enhanced data storage described above</w:t>
      </w:r>
      <w:r w:rsidR="00835856">
        <w:t>,</w:t>
      </w:r>
      <w:r w:rsidRPr="001C4CA1">
        <w:t xml:space="preserve"> high performance computing will position </w:t>
      </w:r>
      <w:r w:rsidR="00835856">
        <w:t>the University</w:t>
      </w:r>
      <w:r w:rsidRPr="001C4CA1">
        <w:t xml:space="preserve"> to work with and collaborate on analys</w:t>
      </w:r>
      <w:r w:rsidR="00434DE4">
        <w:t>e</w:t>
      </w:r>
      <w:r w:rsidRPr="001C4CA1">
        <w:t>s of large dataset</w:t>
      </w:r>
      <w:r w:rsidR="00434DE4">
        <w:t>s in significantly reduced time</w:t>
      </w:r>
      <w:r w:rsidRPr="001C4CA1">
        <w:t xml:space="preserve">frames, leading to increased capacity to produce impactful research. </w:t>
      </w:r>
      <w:r w:rsidR="000E3C30">
        <w:t>The type of capability provided th</w:t>
      </w:r>
      <w:r w:rsidR="00411FD3">
        <w:t>r</w:t>
      </w:r>
      <w:r w:rsidR="000E3C30">
        <w:t xml:space="preserve">ough data storage </w:t>
      </w:r>
      <w:r>
        <w:t xml:space="preserve">and computational facilities </w:t>
      </w:r>
      <w:r w:rsidR="000E3C30">
        <w:t>will enhance our position as a research partner of choice and help us remain competitive in the increasingly large</w:t>
      </w:r>
      <w:r w:rsidR="00835856">
        <w:t>-</w:t>
      </w:r>
      <w:r w:rsidR="000E3C30">
        <w:t>scale world of ‘big data’</w:t>
      </w:r>
      <w:r w:rsidR="00BB5583">
        <w:rPr>
          <w:rStyle w:val="FootnoteReference"/>
        </w:rPr>
        <w:footnoteReference w:id="33"/>
      </w:r>
      <w:r w:rsidR="000E3C30">
        <w:t xml:space="preserve">. </w:t>
      </w:r>
    </w:p>
    <w:p w14:paraId="47389654" w14:textId="77777777" w:rsidR="00AD01F4" w:rsidRDefault="00AD01F4" w:rsidP="00AD01F4">
      <w:pPr>
        <w:spacing w:after="0" w:line="240" w:lineRule="auto"/>
      </w:pPr>
      <w:r w:rsidRPr="00AD01F4">
        <w:t xml:space="preserve">Macquarie </w:t>
      </w:r>
      <w:proofErr w:type="spellStart"/>
      <w:r w:rsidRPr="00AD01F4">
        <w:t>Unviersity</w:t>
      </w:r>
      <w:proofErr w:type="spellEnd"/>
      <w:r w:rsidRPr="00AD01F4">
        <w:t xml:space="preserve"> researchers are encouraged to contact Information Technology to discuss particular requirements to assist them with either infrastructure, software development or other services. The group will formalise </w:t>
      </w:r>
      <w:proofErr w:type="spellStart"/>
      <w:r w:rsidRPr="00AD01F4">
        <w:t>eResearch</w:t>
      </w:r>
      <w:proofErr w:type="spellEnd"/>
      <w:r w:rsidRPr="00AD01F4">
        <w:t xml:space="preserve"> IT support via the </w:t>
      </w:r>
      <w:proofErr w:type="spellStart"/>
      <w:r w:rsidRPr="00AD01F4">
        <w:t>OneHelp</w:t>
      </w:r>
      <w:proofErr w:type="spellEnd"/>
      <w:r w:rsidRPr="00AD01F4">
        <w:t xml:space="preserve"> system and will develop a suite of services for common use by Researchers.  </w:t>
      </w:r>
      <w:r>
        <w:t xml:space="preserve"> </w:t>
      </w:r>
    </w:p>
    <w:p w14:paraId="24A0A7CC" w14:textId="77777777" w:rsidR="004F5B3C" w:rsidRDefault="004F5B3C" w:rsidP="002D275C"/>
    <w:p w14:paraId="4251F229" w14:textId="77777777" w:rsidR="002D275C" w:rsidRPr="000D7B90" w:rsidRDefault="006C4354" w:rsidP="00EB2261">
      <w:pPr>
        <w:pStyle w:val="ListParagraph"/>
        <w:numPr>
          <w:ilvl w:val="0"/>
          <w:numId w:val="6"/>
        </w:numPr>
      </w:pPr>
      <w:r>
        <w:t>Institutional Projects</w:t>
      </w:r>
      <w:r w:rsidR="002D275C" w:rsidRPr="000D7B90">
        <w:t xml:space="preserve"> </w:t>
      </w:r>
    </w:p>
    <w:p w14:paraId="5CC3D972" w14:textId="4137ED9D" w:rsidR="002D275C" w:rsidRPr="00271CC2" w:rsidRDefault="000D7B90" w:rsidP="002D275C">
      <w:pPr>
        <w:rPr>
          <w:i/>
        </w:rPr>
      </w:pPr>
      <w:r w:rsidRPr="00271CC2">
        <w:rPr>
          <w:i/>
        </w:rPr>
        <w:t>A</w:t>
      </w:r>
      <w:r>
        <w:rPr>
          <w:i/>
        </w:rPr>
        <w:t xml:space="preserve">ustralian </w:t>
      </w:r>
      <w:r w:rsidRPr="00271CC2">
        <w:rPr>
          <w:i/>
        </w:rPr>
        <w:t>N</w:t>
      </w:r>
      <w:r>
        <w:rPr>
          <w:i/>
        </w:rPr>
        <w:t xml:space="preserve">ational </w:t>
      </w:r>
      <w:r w:rsidRPr="00271CC2">
        <w:rPr>
          <w:i/>
        </w:rPr>
        <w:t>D</w:t>
      </w:r>
      <w:r>
        <w:rPr>
          <w:i/>
        </w:rPr>
        <w:t xml:space="preserve">ata </w:t>
      </w:r>
      <w:r w:rsidRPr="00271CC2">
        <w:rPr>
          <w:i/>
        </w:rPr>
        <w:t>S</w:t>
      </w:r>
      <w:r>
        <w:rPr>
          <w:i/>
        </w:rPr>
        <w:t>ervice</w:t>
      </w:r>
      <w:r w:rsidRPr="00271CC2">
        <w:rPr>
          <w:i/>
        </w:rPr>
        <w:t xml:space="preserve"> </w:t>
      </w:r>
      <w:r w:rsidR="00A44FDE">
        <w:rPr>
          <w:i/>
        </w:rPr>
        <w:t xml:space="preserve">(ANDS) </w:t>
      </w:r>
      <w:r w:rsidRPr="00271CC2">
        <w:rPr>
          <w:i/>
        </w:rPr>
        <w:t>Projects</w:t>
      </w:r>
      <w:r w:rsidR="00A44FDE">
        <w:rPr>
          <w:i/>
        </w:rPr>
        <w:t xml:space="preserve">: </w:t>
      </w:r>
      <w:r w:rsidR="002D275C">
        <w:rPr>
          <w:i/>
        </w:rPr>
        <w:t>Seeding the Commons and Metadata Stor</w:t>
      </w:r>
      <w:r>
        <w:rPr>
          <w:i/>
        </w:rPr>
        <w:t>e</w:t>
      </w:r>
      <w:r w:rsidR="00732760">
        <w:rPr>
          <w:i/>
        </w:rPr>
        <w:t>s</w:t>
      </w:r>
    </w:p>
    <w:p w14:paraId="6079E059" w14:textId="3E84D613" w:rsidR="002D275C" w:rsidRDefault="002D275C" w:rsidP="002D275C">
      <w:pPr>
        <w:spacing w:after="0" w:line="240" w:lineRule="auto"/>
      </w:pPr>
      <w:r>
        <w:t xml:space="preserve">The </w:t>
      </w:r>
      <w:r w:rsidRPr="00296E16">
        <w:rPr>
          <w:i/>
        </w:rPr>
        <w:t>Seeding the Commons Project</w:t>
      </w:r>
      <w:r>
        <w:t xml:space="preserve"> was funded by ANDS and completed in </w:t>
      </w:r>
      <w:r w:rsidRPr="004B140A">
        <w:t>2014</w:t>
      </w:r>
      <w:r>
        <w:t xml:space="preserve">. The project team </w:t>
      </w:r>
      <w:r w:rsidR="000D7B90">
        <w:t>was made up</w:t>
      </w:r>
      <w:r>
        <w:t xml:space="preserve"> of staff from IT, the Library, the Research Office, </w:t>
      </w:r>
      <w:r w:rsidR="00FE5C79">
        <w:t xml:space="preserve">and </w:t>
      </w:r>
      <w:r>
        <w:t>Faculties</w:t>
      </w:r>
      <w:r w:rsidR="00EB479E">
        <w:t>,</w:t>
      </w:r>
      <w:r>
        <w:t xml:space="preserve"> and was supported by staff from ANDS and Intersect. The project address</w:t>
      </w:r>
      <w:r w:rsidR="00FE5C79">
        <w:t>ed</w:t>
      </w:r>
      <w:r>
        <w:t xml:space="preserve"> the </w:t>
      </w:r>
      <w:r w:rsidR="00FE5C79">
        <w:t xml:space="preserve">need for data management policy, </w:t>
      </w:r>
      <w:r>
        <w:t>procedures and related resources.</w:t>
      </w:r>
      <w:r w:rsidR="00FE5C79">
        <w:t xml:space="preserve"> </w:t>
      </w:r>
      <w:r>
        <w:t>Project outcomes included</w:t>
      </w:r>
      <w:r w:rsidR="00FE5C79">
        <w:t xml:space="preserve"> the</w:t>
      </w:r>
      <w:r w:rsidR="007D7EA5">
        <w:t xml:space="preserve"> data management policy</w:t>
      </w:r>
      <w:r>
        <w:t>, a data management plan template and a web-based tool-kit</w:t>
      </w:r>
      <w:r w:rsidR="00FE5C79">
        <w:t xml:space="preserve"> (available through the Research Office)</w:t>
      </w:r>
      <w:r>
        <w:t>.</w:t>
      </w:r>
      <w:r w:rsidR="007D7EA5">
        <w:t xml:space="preserve"> As </w:t>
      </w:r>
      <w:r w:rsidR="007D7EA5">
        <w:lastRenderedPageBreak/>
        <w:t>discussed above, w</w:t>
      </w:r>
      <w:r w:rsidR="000D7B90">
        <w:t xml:space="preserve">hen the project concluded there were </w:t>
      </w:r>
      <w:r>
        <w:t xml:space="preserve">no plans </w:t>
      </w:r>
      <w:r w:rsidR="000D7B90">
        <w:t xml:space="preserve">for the ongoing ownership and management of the </w:t>
      </w:r>
      <w:r w:rsidR="00AD2DD0">
        <w:t>do</w:t>
      </w:r>
      <w:r w:rsidR="00732760">
        <w:t>cuments and as such the policy and</w:t>
      </w:r>
      <w:r w:rsidR="00AD2DD0">
        <w:t xml:space="preserve"> template have not been implemented</w:t>
      </w:r>
      <w:r>
        <w:t xml:space="preserve">. </w:t>
      </w:r>
    </w:p>
    <w:p w14:paraId="3EA0B2CA" w14:textId="77777777" w:rsidR="007D7EA5" w:rsidRDefault="007D7EA5" w:rsidP="002D275C">
      <w:pPr>
        <w:spacing w:after="0" w:line="240" w:lineRule="auto"/>
      </w:pPr>
    </w:p>
    <w:p w14:paraId="35F7BDE9" w14:textId="12A1A1B5" w:rsidR="002D275C" w:rsidRDefault="002D275C" w:rsidP="002D275C">
      <w:pPr>
        <w:spacing w:after="0" w:line="240" w:lineRule="auto"/>
      </w:pPr>
      <w:r>
        <w:t xml:space="preserve">The </w:t>
      </w:r>
      <w:r w:rsidRPr="007338A7">
        <w:rPr>
          <w:i/>
        </w:rPr>
        <w:t>ANDS Metadata Stores Project</w:t>
      </w:r>
      <w:r>
        <w:t xml:space="preserve"> was also funded by ANDS. The project team involved staff from the DVCR Office, IT, the Library, the Research Office and again was supported by staff from ANDS and Intersect. The project enabled the creation of metadata records to describe research data collections and datasets and make them discoverable in the ANDS Research Data Australia Portal. Prior to this project, </w:t>
      </w:r>
      <w:r w:rsidR="00732760">
        <w:t>the University</w:t>
      </w:r>
      <w:r>
        <w:t xml:space="preserve"> had no comprehensive way for </w:t>
      </w:r>
      <w:r w:rsidR="00732760">
        <w:t>its</w:t>
      </w:r>
      <w:r>
        <w:t xml:space="preserve"> researchers to describe and make research data collections discoverable. The Macquarie University Contributor page in the portal showcases Macquarie University research by grouping our data collections together. </w:t>
      </w:r>
    </w:p>
    <w:p w14:paraId="7C3D54E7" w14:textId="77777777" w:rsidR="002D275C" w:rsidRDefault="002D275C" w:rsidP="002D275C">
      <w:pPr>
        <w:spacing w:after="0" w:line="240" w:lineRule="auto"/>
      </w:pPr>
    </w:p>
    <w:p w14:paraId="57EF2A23" w14:textId="2461905A" w:rsidR="002D275C" w:rsidRDefault="002D275C" w:rsidP="002D275C">
      <w:pPr>
        <w:spacing w:after="0" w:line="240" w:lineRule="auto"/>
      </w:pPr>
      <w:r>
        <w:t xml:space="preserve">Both projects were supported by a Steering Committee made up of representatives from the DVCR portfolio, IT, Library and Faculties. </w:t>
      </w:r>
      <w:r w:rsidR="00AD2DD0">
        <w:t xml:space="preserve">Both projects have developed outcomes and enhanced staff skills and knowledge. As such they represent excellent capital from which we can build under the guidance of a strategy. </w:t>
      </w:r>
    </w:p>
    <w:p w14:paraId="0D306340" w14:textId="77777777" w:rsidR="002D275C" w:rsidRDefault="002D275C" w:rsidP="002D275C">
      <w:pPr>
        <w:spacing w:after="0" w:line="240" w:lineRule="auto"/>
      </w:pPr>
    </w:p>
    <w:p w14:paraId="145C3C42" w14:textId="77777777" w:rsidR="000D7B90" w:rsidRDefault="000D7B90" w:rsidP="002D275C">
      <w:pPr>
        <w:spacing w:after="0" w:line="240" w:lineRule="auto"/>
      </w:pPr>
    </w:p>
    <w:p w14:paraId="318077AF" w14:textId="77777777" w:rsidR="000D7B90" w:rsidRDefault="000D7B90" w:rsidP="00EB2261">
      <w:pPr>
        <w:pStyle w:val="ListParagraph"/>
        <w:numPr>
          <w:ilvl w:val="0"/>
          <w:numId w:val="6"/>
        </w:numPr>
        <w:spacing w:after="0" w:line="240" w:lineRule="auto"/>
      </w:pPr>
      <w:r>
        <w:t>Departmental Projects</w:t>
      </w:r>
    </w:p>
    <w:p w14:paraId="287C47E5" w14:textId="77777777" w:rsidR="000D7B90" w:rsidRDefault="000D7B90" w:rsidP="002D275C">
      <w:pPr>
        <w:spacing w:after="0" w:line="240" w:lineRule="auto"/>
      </w:pPr>
    </w:p>
    <w:p w14:paraId="42DEF56E" w14:textId="77777777" w:rsidR="00EB2261" w:rsidRPr="00EB2261" w:rsidRDefault="00EB2261" w:rsidP="002D275C">
      <w:pPr>
        <w:spacing w:after="0" w:line="240" w:lineRule="auto"/>
        <w:rPr>
          <w:i/>
        </w:rPr>
      </w:pPr>
      <w:r w:rsidRPr="00EB2261">
        <w:rPr>
          <w:i/>
        </w:rPr>
        <w:t>Australian National Data Service Projects (ANDS)</w:t>
      </w:r>
    </w:p>
    <w:p w14:paraId="7E7A639C" w14:textId="77777777" w:rsidR="00EB2261" w:rsidRDefault="00EB2261" w:rsidP="002D275C">
      <w:pPr>
        <w:spacing w:after="0" w:line="240" w:lineRule="auto"/>
      </w:pPr>
    </w:p>
    <w:p w14:paraId="384C5208" w14:textId="4449637D" w:rsidR="002D275C" w:rsidRDefault="002D275C" w:rsidP="002D275C">
      <w:pPr>
        <w:spacing w:after="0" w:line="240" w:lineRule="auto"/>
      </w:pPr>
      <w:r>
        <w:t xml:space="preserve">At a departmental level </w:t>
      </w:r>
      <w:r w:rsidR="00732760">
        <w:t>the University has</w:t>
      </w:r>
      <w:r>
        <w:t xml:space="preserve"> completed projects with ANDS funding for the </w:t>
      </w:r>
      <w:r w:rsidRPr="009668BB">
        <w:rPr>
          <w:b/>
        </w:rPr>
        <w:t>Department of Ancient History Papyri Data Capture project</w:t>
      </w:r>
      <w:r>
        <w:t xml:space="preserve"> and the </w:t>
      </w:r>
      <w:proofErr w:type="spellStart"/>
      <w:r w:rsidRPr="009668BB">
        <w:rPr>
          <w:b/>
        </w:rPr>
        <w:t>Biomolecular</w:t>
      </w:r>
      <w:proofErr w:type="spellEnd"/>
      <w:r w:rsidRPr="009668BB">
        <w:rPr>
          <w:b/>
        </w:rPr>
        <w:t xml:space="preserve"> Frontiers Research Centre’s </w:t>
      </w:r>
      <w:proofErr w:type="spellStart"/>
      <w:r w:rsidRPr="009668BB">
        <w:rPr>
          <w:b/>
        </w:rPr>
        <w:t>Glycomics</w:t>
      </w:r>
      <w:proofErr w:type="spellEnd"/>
      <w:r w:rsidRPr="009668BB">
        <w:rPr>
          <w:b/>
        </w:rPr>
        <w:t xml:space="preserve"> Repository</w:t>
      </w:r>
      <w:r>
        <w:t xml:space="preserve">. Currently funded ANDS projects include the </w:t>
      </w:r>
      <w:r w:rsidRPr="00871344">
        <w:rPr>
          <w:b/>
        </w:rPr>
        <w:t>Biosphere and Climate Dynamics Group’s Major Open Data Collection project</w:t>
      </w:r>
      <w:r>
        <w:t xml:space="preserve"> and the </w:t>
      </w:r>
      <w:r w:rsidRPr="00871344">
        <w:rPr>
          <w:b/>
        </w:rPr>
        <w:t>Biological Sciences’ Productivity in Space and Time project</w:t>
      </w:r>
      <w:r>
        <w:t xml:space="preserve">, in collaboration with </w:t>
      </w:r>
      <w:r w:rsidR="00732760">
        <w:t xml:space="preserve">the </w:t>
      </w:r>
      <w:r>
        <w:t>U</w:t>
      </w:r>
      <w:r w:rsidR="00732760">
        <w:t xml:space="preserve">niversity of </w:t>
      </w:r>
      <w:r>
        <w:t>Syd</w:t>
      </w:r>
      <w:r w:rsidR="00732760">
        <w:t>ney</w:t>
      </w:r>
      <w:r w:rsidR="00BB5583">
        <w:t xml:space="preserve"> and CSIRO. </w:t>
      </w:r>
    </w:p>
    <w:p w14:paraId="62F3C835" w14:textId="77777777" w:rsidR="002D275C" w:rsidRDefault="002D275C" w:rsidP="002D275C">
      <w:pPr>
        <w:spacing w:after="0" w:line="240" w:lineRule="auto"/>
      </w:pPr>
    </w:p>
    <w:p w14:paraId="3D548826" w14:textId="6450CB81" w:rsidR="002D275C" w:rsidRDefault="00732760" w:rsidP="002D275C">
      <w:pPr>
        <w:spacing w:after="0" w:line="240" w:lineRule="auto"/>
      </w:pPr>
      <w:r>
        <w:t>Macquarie</w:t>
      </w:r>
      <w:r w:rsidR="002D275C">
        <w:t xml:space="preserve"> researchers have also collaborated on </w:t>
      </w:r>
      <w:r w:rsidR="002D275C" w:rsidRPr="00871344">
        <w:rPr>
          <w:b/>
        </w:rPr>
        <w:t>Monash University’s Human Chr7 Proteomics Integration Project</w:t>
      </w:r>
      <w:r w:rsidR="002D275C">
        <w:t xml:space="preserve"> and </w:t>
      </w:r>
      <w:r w:rsidR="002D275C" w:rsidRPr="00871344">
        <w:rPr>
          <w:b/>
        </w:rPr>
        <w:t>Griffith University’s Australian National Corpus</w:t>
      </w:r>
      <w:r w:rsidR="002D275C">
        <w:rPr>
          <w:b/>
        </w:rPr>
        <w:t xml:space="preserve"> Project</w:t>
      </w:r>
      <w:r w:rsidR="00BB5583">
        <w:t xml:space="preserve">. </w:t>
      </w:r>
      <w:r w:rsidR="002D275C">
        <w:t xml:space="preserve"> </w:t>
      </w:r>
    </w:p>
    <w:p w14:paraId="6EF7ED0C" w14:textId="77777777" w:rsidR="002D275C" w:rsidRDefault="002D275C" w:rsidP="002D275C">
      <w:pPr>
        <w:spacing w:after="0" w:line="240" w:lineRule="auto"/>
      </w:pPr>
    </w:p>
    <w:p w14:paraId="384DDDFF" w14:textId="16F17A18" w:rsidR="002D275C" w:rsidRPr="00271CC2" w:rsidRDefault="00411FD3" w:rsidP="002D275C">
      <w:pPr>
        <w:rPr>
          <w:i/>
        </w:rPr>
      </w:pPr>
      <w:r w:rsidRPr="00F50958">
        <w:rPr>
          <w:i/>
        </w:rPr>
        <w:t>Intersect</w:t>
      </w:r>
    </w:p>
    <w:p w14:paraId="37A9A92B" w14:textId="77777777" w:rsidR="00B04A1F" w:rsidRDefault="007D7EA5" w:rsidP="00B04A1F">
      <w:pPr>
        <w:spacing w:after="0" w:line="240" w:lineRule="auto"/>
      </w:pPr>
      <w:r>
        <w:t>Intersect has been</w:t>
      </w:r>
      <w:r w:rsidR="002D275C">
        <w:t xml:space="preserve"> the largest full-service </w:t>
      </w:r>
      <w:proofErr w:type="spellStart"/>
      <w:r w:rsidR="002D275C">
        <w:t>eResearch</w:t>
      </w:r>
      <w:proofErr w:type="spellEnd"/>
      <w:r w:rsidR="002D275C">
        <w:t xml:space="preserve"> support agency within Australia and th</w:t>
      </w:r>
      <w:r w:rsidR="00AD2DD0">
        <w:t>e key support provider for NSW u</w:t>
      </w:r>
      <w:r w:rsidR="002D275C">
        <w:t>niversities and ot</w:t>
      </w:r>
      <w:r w:rsidR="00AD2DD0">
        <w:t xml:space="preserve">her research organisations. </w:t>
      </w:r>
      <w:r w:rsidR="00B04A1F">
        <w:t xml:space="preserve">Intersect has worked with Macquarie researchers on the </w:t>
      </w:r>
      <w:r w:rsidR="00B04A1F" w:rsidRPr="00D95B9E">
        <w:rPr>
          <w:b/>
        </w:rPr>
        <w:t>Papyri collection</w:t>
      </w:r>
      <w:r w:rsidR="00B04A1F">
        <w:t xml:space="preserve">, </w:t>
      </w:r>
      <w:r w:rsidR="00B04A1F" w:rsidRPr="00D95B9E">
        <w:rPr>
          <w:b/>
        </w:rPr>
        <w:t>Federated Archaeological Information Management Systems</w:t>
      </w:r>
      <w:r w:rsidR="00B04A1F">
        <w:rPr>
          <w:rStyle w:val="FootnoteReference"/>
        </w:rPr>
        <w:footnoteReference w:id="34"/>
      </w:r>
      <w:r w:rsidR="00B04A1F">
        <w:t xml:space="preserve">, </w:t>
      </w:r>
      <w:r w:rsidR="00B04A1F" w:rsidRPr="00D95B9E">
        <w:rPr>
          <w:b/>
        </w:rPr>
        <w:t>Australian Institute of Health Innovation’s WOMBAT (Work Observation Method by Activity and Timing)</w:t>
      </w:r>
      <w:r w:rsidR="00B04A1F" w:rsidRPr="00D95B9E">
        <w:rPr>
          <w:rStyle w:val="FootnoteReference"/>
          <w:b/>
        </w:rPr>
        <w:footnoteReference w:id="35"/>
      </w:r>
      <w:r w:rsidR="00B04A1F">
        <w:t xml:space="preserve"> and the </w:t>
      </w:r>
      <w:r w:rsidR="00B04A1F" w:rsidRPr="00D95B9E">
        <w:rPr>
          <w:b/>
        </w:rPr>
        <w:t xml:space="preserve">Department of Computing’s </w:t>
      </w:r>
      <w:proofErr w:type="spellStart"/>
      <w:r w:rsidR="00B04A1F" w:rsidRPr="00D95B9E">
        <w:rPr>
          <w:b/>
        </w:rPr>
        <w:t>Alveo</w:t>
      </w:r>
      <w:proofErr w:type="spellEnd"/>
      <w:r w:rsidR="00B04A1F" w:rsidRPr="00D95B9E">
        <w:rPr>
          <w:b/>
        </w:rPr>
        <w:t xml:space="preserve"> virtual lab for Human Communication Science</w:t>
      </w:r>
      <w:r w:rsidR="00B04A1F">
        <w:rPr>
          <w:rStyle w:val="FootnoteReference"/>
        </w:rPr>
        <w:footnoteReference w:id="36"/>
      </w:r>
      <w:r w:rsidR="00B04A1F">
        <w:t xml:space="preserve">. University Librarian, JoAnne Sparks, was until recently a member of the Intersect board. Grant </w:t>
      </w:r>
      <w:proofErr w:type="spellStart"/>
      <w:r w:rsidR="00B04A1F">
        <w:t>Sayer</w:t>
      </w:r>
      <w:proofErr w:type="spellEnd"/>
      <w:r w:rsidR="00B04A1F">
        <w:t xml:space="preserve"> from Information Technology and Dr Craig O’Neill from the Department of Earth and Planetary Sciences have participated on Intersect committees. </w:t>
      </w:r>
    </w:p>
    <w:p w14:paraId="4B779AE6" w14:textId="77777777" w:rsidR="00B04A1F" w:rsidRDefault="00B04A1F" w:rsidP="00BF2E82">
      <w:pPr>
        <w:spacing w:after="0" w:line="240" w:lineRule="auto"/>
      </w:pPr>
    </w:p>
    <w:p w14:paraId="1A66EF60" w14:textId="4568F7DD" w:rsidR="00A34F19" w:rsidRPr="00A34F19" w:rsidRDefault="00A34F19" w:rsidP="00A34F19">
      <w:r w:rsidRPr="00A34F19">
        <w:t>Macquarie recently discontinued its membership of Intersect and other NSW u</w:t>
      </w:r>
      <w:r>
        <w:t>niversities are considering their position</w:t>
      </w:r>
      <w:r w:rsidRPr="00A34F19">
        <w:t xml:space="preserve">. The University’s Information Technology Unit has provided assurances that it will continue to support researchers who have relied on the expertise Intersect provided and those with emerging needs in this area. Future provision of data storage and compute will shortly go out to tender under the direction of the IT Unit, and it is anticipated these will be provided via a cloud provider. The IT Unit has consulted with Macquarie researchers regarding the services they have been engaging Intersect to provide and have noted the needs of Macquarie researchers. The </w:t>
      </w:r>
      <w:r w:rsidRPr="00A34F19">
        <w:lastRenderedPageBreak/>
        <w:t>Unit is committed to working with researchers to develop strategic offerings and a suite of services for common use by researchers. Researchers are encouraged to discuss their infrastructure and software development requirements with IT.</w:t>
      </w:r>
    </w:p>
    <w:p w14:paraId="4525A332" w14:textId="441C3FB2" w:rsidR="0052527F" w:rsidRDefault="002D275C" w:rsidP="002D275C">
      <w:pPr>
        <w:spacing w:after="0" w:line="240" w:lineRule="auto"/>
      </w:pPr>
      <w:r>
        <w:t xml:space="preserve">While </w:t>
      </w:r>
      <w:r w:rsidR="001E7B91">
        <w:t>Intersect</w:t>
      </w:r>
      <w:r w:rsidR="00B04A1F">
        <w:t xml:space="preserve"> </w:t>
      </w:r>
      <w:r>
        <w:t xml:space="preserve">support </w:t>
      </w:r>
      <w:r w:rsidR="004E0B1B">
        <w:t xml:space="preserve">(software support, testing and training) </w:t>
      </w:r>
      <w:r>
        <w:t xml:space="preserve">has been highly valued by groups making use of </w:t>
      </w:r>
      <w:r w:rsidR="00B04A1F">
        <w:t>these services</w:t>
      </w:r>
      <w:r w:rsidR="004E0B1B">
        <w:t xml:space="preserve">, </w:t>
      </w:r>
      <w:r w:rsidR="00100CD4">
        <w:t>Macquarie’s</w:t>
      </w:r>
      <w:r>
        <w:t xml:space="preserve"> engagement with </w:t>
      </w:r>
      <w:r w:rsidR="004E0B1B">
        <w:t>the organisation</w:t>
      </w:r>
      <w:r w:rsidR="005856D5">
        <w:t xml:space="preserve"> has largely been ad hoc</w:t>
      </w:r>
      <w:r w:rsidR="004E0B1B">
        <w:t xml:space="preserve"> and</w:t>
      </w:r>
      <w:r w:rsidR="000C6169">
        <w:t xml:space="preserve"> institutional membership</w:t>
      </w:r>
      <w:r w:rsidR="004E0B1B">
        <w:t xml:space="preserve"> has not represented value for </w:t>
      </w:r>
      <w:r w:rsidR="000C6169">
        <w:t>investment</w:t>
      </w:r>
      <w:r w:rsidR="004E0B1B">
        <w:t xml:space="preserve"> across the University</w:t>
      </w:r>
      <w:r w:rsidR="005856D5">
        <w:t>.</w:t>
      </w:r>
      <w:r w:rsidR="004E0B1B">
        <w:t xml:space="preserve"> Furthermore, questions have been raised around the viability of the Intersect funding model and its long-term sustainability as an organisation. </w:t>
      </w:r>
      <w:r w:rsidR="005856D5">
        <w:t xml:space="preserve"> </w:t>
      </w:r>
      <w:r w:rsidR="004E0B1B">
        <w:t xml:space="preserve">The support and services of the IT </w:t>
      </w:r>
      <w:r w:rsidR="00644A32">
        <w:t>Unit</w:t>
      </w:r>
      <w:r w:rsidR="004E0B1B">
        <w:t xml:space="preserve"> and s</w:t>
      </w:r>
      <w:r w:rsidR="00AD01F4">
        <w:t xml:space="preserve">trategic </w:t>
      </w:r>
      <w:r w:rsidR="00E7778B">
        <w:t>guidance</w:t>
      </w:r>
      <w:r w:rsidR="004E0B1B">
        <w:t xml:space="preserve"> are essential to </w:t>
      </w:r>
      <w:r w:rsidR="00AD01F4">
        <w:t>ensu</w:t>
      </w:r>
      <w:r w:rsidR="004E0B1B">
        <w:t xml:space="preserve">re we maximise our </w:t>
      </w:r>
      <w:proofErr w:type="spellStart"/>
      <w:r w:rsidR="004E0B1B">
        <w:t>eResearch</w:t>
      </w:r>
      <w:proofErr w:type="spellEnd"/>
      <w:r w:rsidR="004E0B1B">
        <w:t xml:space="preserve"> investment in future. </w:t>
      </w:r>
      <w:r w:rsidR="0052527F">
        <w:t xml:space="preserve"> </w:t>
      </w:r>
    </w:p>
    <w:p w14:paraId="6214AAFB" w14:textId="77777777" w:rsidR="00AD01F4" w:rsidRDefault="00AD01F4" w:rsidP="002D275C">
      <w:pPr>
        <w:spacing w:after="0" w:line="240" w:lineRule="auto"/>
      </w:pPr>
    </w:p>
    <w:p w14:paraId="46B6228D" w14:textId="77777777" w:rsidR="00E376F8" w:rsidRDefault="00E376F8" w:rsidP="002D275C">
      <w:pPr>
        <w:spacing w:after="0" w:line="240" w:lineRule="auto"/>
      </w:pPr>
    </w:p>
    <w:p w14:paraId="2376E763" w14:textId="77777777" w:rsidR="002D275C" w:rsidRPr="00EB2261" w:rsidRDefault="0088042B" w:rsidP="00EB2261">
      <w:pPr>
        <w:pStyle w:val="ListParagraph"/>
        <w:numPr>
          <w:ilvl w:val="0"/>
          <w:numId w:val="6"/>
        </w:numPr>
      </w:pPr>
      <w:r>
        <w:t>Building skills and knowledge</w:t>
      </w:r>
    </w:p>
    <w:p w14:paraId="239782C1" w14:textId="17E93FFF" w:rsidR="002D275C" w:rsidRDefault="00C22BE3" w:rsidP="002D275C">
      <w:pPr>
        <w:spacing w:after="0" w:line="240" w:lineRule="auto"/>
      </w:pPr>
      <w:r>
        <w:t xml:space="preserve">Macquarie researcher Dr Joshua </w:t>
      </w:r>
      <w:proofErr w:type="spellStart"/>
      <w:r>
        <w:t>Madin</w:t>
      </w:r>
      <w:proofErr w:type="spellEnd"/>
      <w:r>
        <w:t xml:space="preserve"> was involved in </w:t>
      </w:r>
      <w:r w:rsidR="00411FD3">
        <w:t>co-</w:t>
      </w:r>
      <w:r>
        <w:t>organising the first Software Carpentry</w:t>
      </w:r>
      <w:r w:rsidR="009E1D6F">
        <w:rPr>
          <w:rStyle w:val="FootnoteReference"/>
        </w:rPr>
        <w:footnoteReference w:id="37"/>
      </w:r>
      <w:r>
        <w:t xml:space="preserve"> teacher training workshop in Australia in 2013. </w:t>
      </w:r>
      <w:r w:rsidR="002D275C">
        <w:t xml:space="preserve">Software Carpentry is a non-profit membership organisation devoted to improving basic </w:t>
      </w:r>
      <w:r w:rsidR="00100CD4">
        <w:t>programming</w:t>
      </w:r>
      <w:r w:rsidR="002D275C">
        <w:t xml:space="preserve"> skills among researchers</w:t>
      </w:r>
      <w:r w:rsidR="003E7572">
        <w:t xml:space="preserve">. </w:t>
      </w:r>
      <w:r w:rsidR="002D275C">
        <w:t>The</w:t>
      </w:r>
      <w:r w:rsidR="003E7572">
        <w:t xml:space="preserve"> organisation</w:t>
      </w:r>
      <w:r w:rsidR="002D275C">
        <w:t xml:space="preserve"> run</w:t>
      </w:r>
      <w:r w:rsidR="003E7572">
        <w:t>s</w:t>
      </w:r>
      <w:r w:rsidR="002D275C">
        <w:t xml:space="preserve"> ‘train the trainer’ style workshops</w:t>
      </w:r>
      <w:r w:rsidR="003E7572">
        <w:t xml:space="preserve"> which provide accreditation to </w:t>
      </w:r>
      <w:r w:rsidR="002D275C">
        <w:t xml:space="preserve">participants </w:t>
      </w:r>
      <w:r w:rsidR="003E7572">
        <w:t xml:space="preserve">to </w:t>
      </w:r>
      <w:r w:rsidR="00100CD4">
        <w:t>become volunteer trainers at</w:t>
      </w:r>
      <w:r w:rsidR="002D275C">
        <w:t xml:space="preserve"> their local University, teaching the Software Carpentry modules. Modules include the Unix Shell, Git and Git Hub, Python, R</w:t>
      </w:r>
      <w:r w:rsidR="00100CD4">
        <w:t xml:space="preserve"> and</w:t>
      </w:r>
      <w:r w:rsidR="002D275C">
        <w:t xml:space="preserve"> SQL.  Currently there are </w:t>
      </w:r>
      <w:r w:rsidR="00BB5583">
        <w:t>three</w:t>
      </w:r>
      <w:r w:rsidR="002D275C">
        <w:t xml:space="preserve"> volunteer tr</w:t>
      </w:r>
      <w:r w:rsidR="0088042B">
        <w:t>ainers at Macquarie University -</w:t>
      </w:r>
      <w:r w:rsidR="00100CD4">
        <w:t xml:space="preserve"> Dr</w:t>
      </w:r>
      <w:r>
        <w:t xml:space="preserve"> </w:t>
      </w:r>
      <w:r w:rsidR="002D275C">
        <w:t xml:space="preserve">Joshua </w:t>
      </w:r>
      <w:proofErr w:type="spellStart"/>
      <w:r w:rsidR="002D275C">
        <w:t>Madin</w:t>
      </w:r>
      <w:proofErr w:type="spellEnd"/>
      <w:r w:rsidR="002D275C">
        <w:t xml:space="preserve">, </w:t>
      </w:r>
      <w:r w:rsidR="00100CD4">
        <w:t xml:space="preserve">Dr </w:t>
      </w:r>
      <w:r w:rsidR="00BB5583">
        <w:t xml:space="preserve">Daniel Falster and </w:t>
      </w:r>
      <w:r w:rsidR="00100CD4">
        <w:t xml:space="preserve">Dr </w:t>
      </w:r>
      <w:r w:rsidR="0088042B">
        <w:t>Dan Warren</w:t>
      </w:r>
      <w:r w:rsidR="002D275C">
        <w:t xml:space="preserve">. </w:t>
      </w:r>
    </w:p>
    <w:p w14:paraId="067FEC06" w14:textId="77777777" w:rsidR="002D275C" w:rsidRDefault="002D275C" w:rsidP="002D275C">
      <w:pPr>
        <w:spacing w:after="0" w:line="240" w:lineRule="auto"/>
      </w:pPr>
    </w:p>
    <w:p w14:paraId="748E67B6" w14:textId="0DB66EF0" w:rsidR="0088042B" w:rsidRDefault="00100CD4" w:rsidP="003E7572">
      <w:r>
        <w:t>The Department of Biological Sciences</w:t>
      </w:r>
      <w:r w:rsidR="005856D5">
        <w:t xml:space="preserve"> Genes to Geoscience Research Enrichment Program</w:t>
      </w:r>
      <w:r w:rsidR="009E1D6F">
        <w:rPr>
          <w:rStyle w:val="FootnoteReference"/>
        </w:rPr>
        <w:footnoteReference w:id="38"/>
      </w:r>
      <w:r w:rsidR="0088042B">
        <w:t xml:space="preserve"> is a </w:t>
      </w:r>
      <w:r w:rsidR="005856D5">
        <w:t xml:space="preserve">PhD </w:t>
      </w:r>
      <w:r w:rsidR="0088042B">
        <w:t xml:space="preserve">development program consisting of a series of workshops ranging from coding to teaching skills to career management. Three workshops are delivered to teach </w:t>
      </w:r>
      <w:r w:rsidR="006C4354">
        <w:t>programming, graphs and statistics using R programming language. Dr Josh</w:t>
      </w:r>
      <w:r w:rsidR="005856D5">
        <w:t>ua</w:t>
      </w:r>
      <w:r w:rsidR="006C4354">
        <w:t xml:space="preserve"> </w:t>
      </w:r>
      <w:proofErr w:type="spellStart"/>
      <w:r w:rsidR="006C4354">
        <w:t>Madin</w:t>
      </w:r>
      <w:proofErr w:type="spellEnd"/>
      <w:r w:rsidR="006C4354">
        <w:t>, mentioned above, is a course trainer.</w:t>
      </w:r>
    </w:p>
    <w:p w14:paraId="6F748581" w14:textId="77777777" w:rsidR="0023138E" w:rsidRDefault="0023138E">
      <w:pPr>
        <w:rPr>
          <w:b/>
        </w:rPr>
      </w:pPr>
    </w:p>
    <w:p w14:paraId="6432889E" w14:textId="77777777" w:rsidR="0023138E" w:rsidRDefault="002D275C" w:rsidP="0023138E">
      <w:r>
        <w:rPr>
          <w:b/>
        </w:rPr>
        <w:br w:type="page"/>
      </w:r>
    </w:p>
    <w:p w14:paraId="01AFFED4" w14:textId="734394B1" w:rsidR="000D7B90" w:rsidRPr="000D6BFE" w:rsidRDefault="000D7B90" w:rsidP="000D6BFE">
      <w:pPr>
        <w:pStyle w:val="ListParagraph"/>
        <w:numPr>
          <w:ilvl w:val="0"/>
          <w:numId w:val="8"/>
        </w:numPr>
        <w:rPr>
          <w:b/>
        </w:rPr>
      </w:pPr>
      <w:r w:rsidRPr="000D6BFE">
        <w:rPr>
          <w:b/>
        </w:rPr>
        <w:lastRenderedPageBreak/>
        <w:t>DISCUSSION</w:t>
      </w:r>
    </w:p>
    <w:p w14:paraId="2F060B46" w14:textId="50176AAA" w:rsidR="005E1CC8" w:rsidRDefault="005856D5" w:rsidP="005E1CC8">
      <w:r>
        <w:t>The</w:t>
      </w:r>
      <w:r w:rsidR="00C22BE3">
        <w:t xml:space="preserve"> consul</w:t>
      </w:r>
      <w:r w:rsidR="00785E27">
        <w:t>tation and research process has highlighted</w:t>
      </w:r>
      <w:r w:rsidR="00C22BE3">
        <w:t xml:space="preserve"> the </w:t>
      </w:r>
      <w:r w:rsidR="000E4286">
        <w:t>importance of</w:t>
      </w:r>
      <w:r w:rsidR="00C22BE3">
        <w:t xml:space="preserve"> strategic and coordinated approach</w:t>
      </w:r>
      <w:r w:rsidR="000E4286">
        <w:t xml:space="preserve">es to </w:t>
      </w:r>
      <w:proofErr w:type="spellStart"/>
      <w:r w:rsidR="000E4286">
        <w:t>eResearch</w:t>
      </w:r>
      <w:proofErr w:type="spellEnd"/>
      <w:r w:rsidR="000E4286">
        <w:t xml:space="preserve"> at institutional levels. </w:t>
      </w:r>
      <w:r w:rsidR="005E1CC8">
        <w:t xml:space="preserve">To inform an </w:t>
      </w:r>
      <w:r w:rsidR="000E4286">
        <w:t>effective</w:t>
      </w:r>
      <w:r w:rsidR="005E1CC8">
        <w:t xml:space="preserve"> strategy for Macquarie we seek input from the research community</w:t>
      </w:r>
      <w:r w:rsidR="000E4286">
        <w:t xml:space="preserve">. What direction must the University take to </w:t>
      </w:r>
      <w:r w:rsidR="005E1CC8">
        <w:t>develop</w:t>
      </w:r>
      <w:r w:rsidR="00C10203">
        <w:t xml:space="preserve"> </w:t>
      </w:r>
      <w:r w:rsidR="005E1CC8" w:rsidRPr="005E1CC8">
        <w:t>data stor</w:t>
      </w:r>
      <w:r w:rsidR="000E4286">
        <w:t>age and management capabilities</w:t>
      </w:r>
      <w:r w:rsidR="004951BA">
        <w:t>,</w:t>
      </w:r>
      <w:r w:rsidR="005E1CC8" w:rsidRPr="005E1CC8">
        <w:t xml:space="preserve"> High Performance Computing</w:t>
      </w:r>
      <w:r w:rsidR="005E1CC8">
        <w:t>, build capacity and develop necessary skills</w:t>
      </w:r>
      <w:r w:rsidR="004951BA">
        <w:t>?</w:t>
      </w:r>
      <w:r w:rsidR="005E1CC8">
        <w:t xml:space="preserve"> </w:t>
      </w:r>
      <w:r w:rsidR="004951BA">
        <w:t>H</w:t>
      </w:r>
      <w:r w:rsidR="005E1CC8">
        <w:t xml:space="preserve">ow </w:t>
      </w:r>
      <w:r w:rsidR="004951BA">
        <w:t xml:space="preserve">should </w:t>
      </w:r>
      <w:r w:rsidR="005E1CC8">
        <w:t xml:space="preserve">these </w:t>
      </w:r>
      <w:r w:rsidR="00C10203">
        <w:t xml:space="preserve">capacities </w:t>
      </w:r>
      <w:r w:rsidR="00B92D02">
        <w:t>should be managed and governed?</w:t>
      </w:r>
      <w:r w:rsidR="005E1CC8">
        <w:t xml:space="preserve"> </w:t>
      </w:r>
    </w:p>
    <w:p w14:paraId="57CFADEE" w14:textId="7E094FE4" w:rsidR="00CE7A1E" w:rsidRDefault="00CD7795" w:rsidP="00CE7A1E">
      <w:r>
        <w:t xml:space="preserve">The consultation and research conducted by the </w:t>
      </w:r>
      <w:proofErr w:type="spellStart"/>
      <w:r>
        <w:t>eResearch</w:t>
      </w:r>
      <w:proofErr w:type="spellEnd"/>
      <w:r>
        <w:t xml:space="preserve"> working party has shown the University’s practice thus far to have been uncoordinated and </w:t>
      </w:r>
      <w:r w:rsidR="00732B10">
        <w:t>opportunistic</w:t>
      </w:r>
      <w:r>
        <w:t xml:space="preserve"> in the absence of a guiding strategy. </w:t>
      </w:r>
      <w:r w:rsidR="00F242AD">
        <w:t>The Library is working with datasets and metadata description, the Research Office hosts the Data Management Toolkit, the I</w:t>
      </w:r>
      <w:r w:rsidR="005856D5">
        <w:t xml:space="preserve">nformation </w:t>
      </w:r>
      <w:r w:rsidR="00F242AD">
        <w:t>T</w:t>
      </w:r>
      <w:r w:rsidR="005856D5">
        <w:t>echnology unit</w:t>
      </w:r>
      <w:r w:rsidR="00F242AD">
        <w:t xml:space="preserve"> is working on data storage and high performance computing solutions, teams within departments are developing </w:t>
      </w:r>
      <w:proofErr w:type="spellStart"/>
      <w:r w:rsidR="00F242AD">
        <w:t>eResearch</w:t>
      </w:r>
      <w:proofErr w:type="spellEnd"/>
      <w:r w:rsidR="00F242AD">
        <w:t xml:space="preserve"> tools, teaching basic code and working on projects that involve data sharing across institutions. </w:t>
      </w:r>
      <w:r w:rsidR="009F2DE3">
        <w:t xml:space="preserve">Activities have occurred due to the drive and </w:t>
      </w:r>
      <w:r w:rsidR="00814B05">
        <w:t>interest</w:t>
      </w:r>
      <w:r w:rsidR="009F2DE3">
        <w:t xml:space="preserve"> of individual groups and as a result we have seen the activity and progress described in the proceeding section. However the</w:t>
      </w:r>
      <w:r w:rsidR="001F0414">
        <w:t xml:space="preserve"> </w:t>
      </w:r>
      <w:r w:rsidR="00732B10">
        <w:t>fragmented</w:t>
      </w:r>
      <w:r w:rsidR="009F2DE3">
        <w:t xml:space="preserve"> nature of this approach suggests we are likely to have missed opportunities to progress beyond our current position</w:t>
      </w:r>
      <w:r w:rsidR="00814B05">
        <w:t xml:space="preserve"> and we are not harnessing current activity to increase either compliance or innovation</w:t>
      </w:r>
      <w:r w:rsidR="009F2DE3">
        <w:t xml:space="preserve">. </w:t>
      </w:r>
      <w:r w:rsidR="00CE7A1E">
        <w:t xml:space="preserve">The </w:t>
      </w:r>
      <w:r w:rsidR="00CE7A1E" w:rsidRPr="00434DE4">
        <w:rPr>
          <w:i/>
        </w:rPr>
        <w:t>ANDS Seeding the</w:t>
      </w:r>
      <w:r w:rsidR="008A4246" w:rsidRPr="00434DE4">
        <w:rPr>
          <w:i/>
        </w:rPr>
        <w:t xml:space="preserve"> Commons</w:t>
      </w:r>
      <w:r w:rsidR="008A4246">
        <w:t xml:space="preserve"> project is an example </w:t>
      </w:r>
      <w:r w:rsidR="00F242AD">
        <w:t xml:space="preserve">where once the funded work was complete the outcomes </w:t>
      </w:r>
      <w:r w:rsidR="008A4246">
        <w:t>were not</w:t>
      </w:r>
      <w:r w:rsidR="00F242AD">
        <w:t xml:space="preserve"> implemented. </w:t>
      </w:r>
    </w:p>
    <w:p w14:paraId="55507607" w14:textId="4978AE07" w:rsidR="002203B8" w:rsidRDefault="00F242AD" w:rsidP="00CE7A1E">
      <w:r>
        <w:t>By comparis</w:t>
      </w:r>
      <w:r w:rsidR="002203B8">
        <w:t>on, universities such as UNSW and the ANU</w:t>
      </w:r>
      <w:r>
        <w:t xml:space="preserve"> have established </w:t>
      </w:r>
      <w:proofErr w:type="spellStart"/>
      <w:r>
        <w:t>eResearch</w:t>
      </w:r>
      <w:proofErr w:type="spellEnd"/>
      <w:r>
        <w:t xml:space="preserve"> advisory </w:t>
      </w:r>
      <w:r w:rsidR="004F4EB1">
        <w:t>committees</w:t>
      </w:r>
      <w:r>
        <w:t xml:space="preserve"> to guide decision making</w:t>
      </w:r>
      <w:r w:rsidR="002203B8">
        <w:t xml:space="preserve"> and maximise investment on service memberships and project outcomes</w:t>
      </w:r>
      <w:r>
        <w:t>.</w:t>
      </w:r>
      <w:r w:rsidR="002203B8">
        <w:t xml:space="preserve"> Mature </w:t>
      </w:r>
      <w:proofErr w:type="spellStart"/>
      <w:r w:rsidR="002203B8">
        <w:t>eResearch</w:t>
      </w:r>
      <w:proofErr w:type="spellEnd"/>
      <w:r w:rsidR="002203B8">
        <w:t xml:space="preserve"> centres at universities such as Monash</w:t>
      </w:r>
      <w:r w:rsidR="00785E27">
        <w:t xml:space="preserve"> and</w:t>
      </w:r>
      <w:r w:rsidR="002203B8">
        <w:t xml:space="preserve"> </w:t>
      </w:r>
      <w:r w:rsidR="004F4EB1">
        <w:t xml:space="preserve">University of </w:t>
      </w:r>
      <w:r>
        <w:t xml:space="preserve">Melbourne </w:t>
      </w:r>
      <w:r w:rsidR="001F0414">
        <w:t xml:space="preserve">and Digital Humanities Centres at Kings College and UCLA </w:t>
      </w:r>
      <w:r w:rsidR="004F4EB1">
        <w:t xml:space="preserve">have </w:t>
      </w:r>
      <w:r w:rsidR="001F0414">
        <w:t>driven capacity to win funding, b</w:t>
      </w:r>
      <w:r w:rsidR="002203B8">
        <w:t>uild communities of expertise</w:t>
      </w:r>
      <w:r w:rsidR="001F0414">
        <w:t xml:space="preserve"> and contribute to a more robust research landscape. </w:t>
      </w:r>
    </w:p>
    <w:p w14:paraId="42B30DA7" w14:textId="762F30E9" w:rsidR="005E1CC8" w:rsidRDefault="002655B8" w:rsidP="002655B8">
      <w:r>
        <w:t xml:space="preserve">An institutional strategy </w:t>
      </w:r>
      <w:r w:rsidR="001F0414">
        <w:t xml:space="preserve">for Macquarie University </w:t>
      </w:r>
      <w:r>
        <w:t>needs to be cl</w:t>
      </w:r>
      <w:r w:rsidR="00785E27">
        <w:t xml:space="preserve">ear about the role </w:t>
      </w:r>
      <w:r w:rsidR="001F0414">
        <w:t>we</w:t>
      </w:r>
      <w:r w:rsidR="00785E27">
        <w:t xml:space="preserve"> want to</w:t>
      </w:r>
      <w:r w:rsidR="004951BA">
        <w:t xml:space="preserve"> play in </w:t>
      </w:r>
      <w:proofErr w:type="spellStart"/>
      <w:r w:rsidR="004951BA">
        <w:t>eResearch</w:t>
      </w:r>
      <w:proofErr w:type="spellEnd"/>
      <w:r>
        <w:t>. Progress has already commenced toward</w:t>
      </w:r>
      <w:r w:rsidR="005F184B">
        <w:t>s</w:t>
      </w:r>
      <w:r>
        <w:t xml:space="preserve"> short</w:t>
      </w:r>
      <w:r w:rsidR="005F184B">
        <w:t xml:space="preserve"> </w:t>
      </w:r>
      <w:r>
        <w:t>term and essential goals which will assist with compliance and risk management although mu</w:t>
      </w:r>
      <w:r w:rsidR="00732B10">
        <w:t xml:space="preserve">ch will need to be done </w:t>
      </w:r>
      <w:r>
        <w:t xml:space="preserve">to ensure necessary cultural shifts accompany our improved data storage facilities. Basic compliance and risk management </w:t>
      </w:r>
      <w:r w:rsidR="00814B05">
        <w:t>are</w:t>
      </w:r>
      <w:r>
        <w:t xml:space="preserve"> underlying and necessary goal</w:t>
      </w:r>
      <w:r w:rsidR="00814B05">
        <w:t>s</w:t>
      </w:r>
      <w:r>
        <w:t xml:space="preserve"> however it is the space beyond this where ou</w:t>
      </w:r>
      <w:r w:rsidR="005F184B">
        <w:t xml:space="preserve">r strategic decision </w:t>
      </w:r>
      <w:r>
        <w:t xml:space="preserve">making </w:t>
      </w:r>
      <w:r w:rsidR="009750C9">
        <w:t>must</w:t>
      </w:r>
      <w:r>
        <w:t xml:space="preserve"> focus.</w:t>
      </w:r>
      <w:r w:rsidR="00814B05">
        <w:t xml:space="preserve"> </w:t>
      </w:r>
      <w:r w:rsidR="00785E27">
        <w:t>In this space</w:t>
      </w:r>
      <w:r>
        <w:t xml:space="preserve"> our options are to either utilise the advantages of </w:t>
      </w:r>
      <w:proofErr w:type="spellStart"/>
      <w:r>
        <w:t>eResearch</w:t>
      </w:r>
      <w:proofErr w:type="spellEnd"/>
      <w:r>
        <w:t xml:space="preserve"> tools</w:t>
      </w:r>
      <w:r w:rsidR="00785E27">
        <w:t xml:space="preserve"> without necessarily contributing to the field</w:t>
      </w:r>
      <w:r>
        <w:t xml:space="preserve"> or to actively pursue trans</w:t>
      </w:r>
      <w:r w:rsidR="005E1CC8">
        <w:t xml:space="preserve">formative </w:t>
      </w:r>
      <w:proofErr w:type="spellStart"/>
      <w:r w:rsidR="005E1CC8">
        <w:t>eResearch</w:t>
      </w:r>
      <w:proofErr w:type="spellEnd"/>
      <w:r w:rsidR="005E1CC8">
        <w:t xml:space="preserve"> practices. </w:t>
      </w:r>
    </w:p>
    <w:p w14:paraId="5630B3FB" w14:textId="067F751D" w:rsidR="00CD7795" w:rsidRDefault="00785E27" w:rsidP="00785E27">
      <w:r>
        <w:t xml:space="preserve">The most immediate issues for Macquarie perhaps speak to the former. In the </w:t>
      </w:r>
      <w:r w:rsidR="005F184B">
        <w:t xml:space="preserve">short </w:t>
      </w:r>
      <w:r w:rsidR="00707CDE">
        <w:t>term</w:t>
      </w:r>
      <w:r>
        <w:t xml:space="preserve"> </w:t>
      </w:r>
      <w:r w:rsidR="00814B05">
        <w:t>the University</w:t>
      </w:r>
      <w:r>
        <w:t xml:space="preserve"> </w:t>
      </w:r>
      <w:r w:rsidR="00814B05">
        <w:t>must</w:t>
      </w:r>
      <w:r>
        <w:t xml:space="preserve"> address </w:t>
      </w:r>
      <w:r w:rsidR="00814B05">
        <w:t>its</w:t>
      </w:r>
      <w:r>
        <w:t xml:space="preserve"> data storage and management practises, manage the gap left by Intersect, and identify means for responding to existing and emerging </w:t>
      </w:r>
      <w:proofErr w:type="spellStart"/>
      <w:r>
        <w:t>eResearch</w:t>
      </w:r>
      <w:proofErr w:type="spellEnd"/>
      <w:r>
        <w:t xml:space="preserve"> needs across all disciplines.</w:t>
      </w:r>
      <w:r w:rsidR="0054609F">
        <w:t xml:space="preserve"> Planned improvements to data sharing and HPC capacity will enable advancement of the University’s </w:t>
      </w:r>
      <w:proofErr w:type="spellStart"/>
      <w:r w:rsidR="0054609F">
        <w:t>eResearch</w:t>
      </w:r>
      <w:proofErr w:type="spellEnd"/>
      <w:r w:rsidR="0054609F">
        <w:t xml:space="preserve"> scope. </w:t>
      </w:r>
      <w:r>
        <w:t xml:space="preserve"> In parallel we need to develop appropriate governance, clear ownership, and implement a University-wide communication strategy. Best practice suggests that central to all of this will be developing collaborative and cross-disciplinary communities of practice. </w:t>
      </w:r>
      <w:r w:rsidR="00044487">
        <w:t xml:space="preserve">How we address these needs will </w:t>
      </w:r>
      <w:r>
        <w:t xml:space="preserve">depend on </w:t>
      </w:r>
      <w:r w:rsidR="00175D63">
        <w:t>the</w:t>
      </w:r>
      <w:r>
        <w:t xml:space="preserve"> resources available</w:t>
      </w:r>
      <w:r w:rsidR="00044487">
        <w:t>.</w:t>
      </w:r>
    </w:p>
    <w:p w14:paraId="757C9A64" w14:textId="6C28325E" w:rsidR="00416A2A" w:rsidRDefault="00044487">
      <w:r>
        <w:t xml:space="preserve">The question of resources must then extend to the level of </w:t>
      </w:r>
      <w:proofErr w:type="spellStart"/>
      <w:r>
        <w:t>eResearch</w:t>
      </w:r>
      <w:proofErr w:type="spellEnd"/>
      <w:r>
        <w:t xml:space="preserve"> practice required to </w:t>
      </w:r>
      <w:r w:rsidR="00722A50">
        <w:t>allow</w:t>
      </w:r>
      <w:r>
        <w:t xml:space="preserve"> the </w:t>
      </w:r>
      <w:r w:rsidR="00F40628">
        <w:t>U</w:t>
      </w:r>
      <w:r>
        <w:t>niversity</w:t>
      </w:r>
      <w:r w:rsidR="00722A50">
        <w:t xml:space="preserve"> to</w:t>
      </w:r>
      <w:r>
        <w:t xml:space="preserve"> meet its strategic objectives</w:t>
      </w:r>
      <w:r w:rsidR="009750C9">
        <w:t>. If we are to produce world-leading research and d</w:t>
      </w:r>
      <w:r w:rsidR="001432F3">
        <w:t>eliver</w:t>
      </w:r>
      <w:r w:rsidR="009750C9">
        <w:t xml:space="preserve"> world-changing impact to what extent do we invest in </w:t>
      </w:r>
      <w:proofErr w:type="spellStart"/>
      <w:r w:rsidR="009750C9">
        <w:t>eResearch</w:t>
      </w:r>
      <w:proofErr w:type="spellEnd"/>
      <w:r w:rsidR="009750C9">
        <w:t xml:space="preserve"> infrastructure, tools and people</w:t>
      </w:r>
      <w:r w:rsidR="001432F3">
        <w:t xml:space="preserve"> to meet these aims</w:t>
      </w:r>
      <w:r w:rsidR="009750C9">
        <w:t xml:space="preserve">? Where do we focus that investment and what form does it take? </w:t>
      </w:r>
      <w:r w:rsidR="00175D63">
        <w:t>How do we ensure we have the right people doing the work that is needed now and</w:t>
      </w:r>
      <w:r w:rsidR="00CD7795">
        <w:t xml:space="preserve"> who will be able to respond </w:t>
      </w:r>
      <w:r w:rsidR="00CD7795">
        <w:lastRenderedPageBreak/>
        <w:t>to future challenges</w:t>
      </w:r>
      <w:r w:rsidR="00175D63">
        <w:t xml:space="preserve">? Our response to </w:t>
      </w:r>
      <w:r w:rsidR="00707CDE">
        <w:t xml:space="preserve">these questions will determine our direction as either a </w:t>
      </w:r>
      <w:r w:rsidR="001432F3">
        <w:t>consumer</w:t>
      </w:r>
      <w:r w:rsidR="00707CDE">
        <w:t xml:space="preserve"> of </w:t>
      </w:r>
      <w:proofErr w:type="spellStart"/>
      <w:r w:rsidR="00707CDE">
        <w:t>eResearch</w:t>
      </w:r>
      <w:proofErr w:type="spellEnd"/>
      <w:r w:rsidR="00707CDE">
        <w:t xml:space="preserve"> or an active contributor to </w:t>
      </w:r>
      <w:r w:rsidR="001432F3">
        <w:t>transformative research practice and</w:t>
      </w:r>
      <w:r w:rsidR="00707CDE">
        <w:t xml:space="preserve"> outcomes. </w:t>
      </w:r>
    </w:p>
    <w:p w14:paraId="44F24145" w14:textId="6D2DDBE9" w:rsidR="009A014B" w:rsidRDefault="00722A50">
      <w:r>
        <w:t xml:space="preserve">This paper aims to </w:t>
      </w:r>
      <w:r w:rsidR="001432F3">
        <w:t>initiate</w:t>
      </w:r>
      <w:r>
        <w:t xml:space="preserve"> discussion by presenting an overview of the </w:t>
      </w:r>
      <w:proofErr w:type="spellStart"/>
      <w:r w:rsidR="00F40628">
        <w:t>eR</w:t>
      </w:r>
      <w:r w:rsidR="00707CDE">
        <w:t>esearch</w:t>
      </w:r>
      <w:proofErr w:type="spellEnd"/>
      <w:r w:rsidR="00707CDE">
        <w:t xml:space="preserve"> landscape. </w:t>
      </w:r>
      <w:r w:rsidR="00F40628">
        <w:t>It has</w:t>
      </w:r>
      <w:r w:rsidR="00707CDE">
        <w:t xml:space="preserve"> provided examples of how </w:t>
      </w:r>
      <w:proofErr w:type="spellStart"/>
      <w:r w:rsidR="00707CDE">
        <w:t>eResearch</w:t>
      </w:r>
      <w:proofErr w:type="spellEnd"/>
      <w:r w:rsidR="00707CDE">
        <w:t xml:space="preserve"> is creating fundamental changes to the way research is done, and by doing so is opening up exciting possibilities for world-changing research outcomes. </w:t>
      </w:r>
      <w:r w:rsidR="00F40628">
        <w:t>It has</w:t>
      </w:r>
      <w:r w:rsidR="00707CDE">
        <w:t xml:space="preserve"> presented the findings from </w:t>
      </w:r>
      <w:r w:rsidR="00F40628">
        <w:t xml:space="preserve">a </w:t>
      </w:r>
      <w:r w:rsidR="00707CDE">
        <w:t>consultation</w:t>
      </w:r>
      <w:r w:rsidR="00F40628">
        <w:t xml:space="preserve"> process across the University </w:t>
      </w:r>
      <w:r w:rsidR="00707CDE">
        <w:t>and</w:t>
      </w:r>
      <w:r w:rsidR="00F40628">
        <w:t>,</w:t>
      </w:r>
      <w:r w:rsidR="00707CDE">
        <w:t xml:space="preserve"> while </w:t>
      </w:r>
      <w:r w:rsidR="00F40628">
        <w:t>acknowledging</w:t>
      </w:r>
      <w:r w:rsidR="00707CDE">
        <w:t xml:space="preserve"> the picture is incomplete, for the first time we have brought together in one document </w:t>
      </w:r>
      <w:r w:rsidR="00895FFB">
        <w:t>a</w:t>
      </w:r>
      <w:r w:rsidR="00707CDE">
        <w:t xml:space="preserve"> range of </w:t>
      </w:r>
      <w:proofErr w:type="spellStart"/>
      <w:r w:rsidR="00707CDE">
        <w:t>eResearch</w:t>
      </w:r>
      <w:proofErr w:type="spellEnd"/>
      <w:r w:rsidR="00707CDE">
        <w:t xml:space="preserve"> activity taking place at this university</w:t>
      </w:r>
      <w:r w:rsidR="00F40628">
        <w:t xml:space="preserve"> (appendix </w:t>
      </w:r>
      <w:r w:rsidR="00B92D02">
        <w:t>2</w:t>
      </w:r>
      <w:r w:rsidR="00F40628">
        <w:t>)</w:t>
      </w:r>
      <w:r w:rsidR="00707CDE">
        <w:t xml:space="preserve">. </w:t>
      </w:r>
      <w:r w:rsidR="00F40628">
        <w:t xml:space="preserve">The intention is that </w:t>
      </w:r>
      <w:r w:rsidR="004040BC">
        <w:t xml:space="preserve">the issues and questions raised in this section of the paper </w:t>
      </w:r>
      <w:r w:rsidR="00F40628">
        <w:t>will</w:t>
      </w:r>
      <w:r w:rsidR="001432F3">
        <w:t xml:space="preserve"> </w:t>
      </w:r>
      <w:r w:rsidR="004040BC">
        <w:t>stimulate discussion</w:t>
      </w:r>
      <w:r w:rsidR="00895FFB">
        <w:t xml:space="preserve"> about, and in turn guide the direction for</w:t>
      </w:r>
      <w:r w:rsidR="004040BC">
        <w:t xml:space="preserve"> where </w:t>
      </w:r>
      <w:r w:rsidR="001432F3">
        <w:t xml:space="preserve">Macquarie wants to be in the international </w:t>
      </w:r>
      <w:proofErr w:type="spellStart"/>
      <w:r w:rsidR="001432F3">
        <w:t>eResearch</w:t>
      </w:r>
      <w:proofErr w:type="spellEnd"/>
      <w:r w:rsidR="001432F3">
        <w:t xml:space="preserve"> landscape, the resources </w:t>
      </w:r>
      <w:r w:rsidR="00F40628">
        <w:t>the University is</w:t>
      </w:r>
      <w:r w:rsidR="001432F3">
        <w:t xml:space="preserve"> prepared to commit to this aim</w:t>
      </w:r>
      <w:r w:rsidR="00F40628">
        <w:t xml:space="preserve"> and options for getting</w:t>
      </w:r>
      <w:r w:rsidR="004040BC">
        <w:t xml:space="preserve"> there. </w:t>
      </w:r>
    </w:p>
    <w:p w14:paraId="135A7248" w14:textId="5A50C616" w:rsidR="00B92D02" w:rsidRPr="00861D63" w:rsidRDefault="00B92D02">
      <w:pPr>
        <w:rPr>
          <w:b/>
        </w:rPr>
      </w:pPr>
      <w:r w:rsidRPr="00861D63">
        <w:rPr>
          <w:b/>
        </w:rPr>
        <w:t xml:space="preserve">We request the Macquarie University research community give consideration </w:t>
      </w:r>
      <w:r w:rsidR="00400770">
        <w:rPr>
          <w:b/>
        </w:rPr>
        <w:t>to and provide</w:t>
      </w:r>
      <w:r w:rsidRPr="00861D63">
        <w:rPr>
          <w:b/>
        </w:rPr>
        <w:t xml:space="preserve"> feedback </w:t>
      </w:r>
      <w:r w:rsidR="00400770">
        <w:rPr>
          <w:b/>
        </w:rPr>
        <w:t xml:space="preserve">on </w:t>
      </w:r>
      <w:r w:rsidRPr="00861D63">
        <w:rPr>
          <w:b/>
        </w:rPr>
        <w:t xml:space="preserve">these questions: </w:t>
      </w:r>
    </w:p>
    <w:p w14:paraId="259193DC" w14:textId="77777777" w:rsidR="008D7612" w:rsidRDefault="008D7612" w:rsidP="008D7612">
      <w:pPr>
        <w:pStyle w:val="ListParagraph"/>
        <w:numPr>
          <w:ilvl w:val="0"/>
          <w:numId w:val="12"/>
        </w:numPr>
      </w:pPr>
      <w:r>
        <w:t xml:space="preserve">In what areas, and how should the University build </w:t>
      </w:r>
      <w:proofErr w:type="spellStart"/>
      <w:r>
        <w:t>eResearch</w:t>
      </w:r>
      <w:proofErr w:type="spellEnd"/>
      <w:r>
        <w:t xml:space="preserve"> capacity to meet the objectives of the </w:t>
      </w:r>
      <w:r w:rsidRPr="008D7612">
        <w:rPr>
          <w:i/>
        </w:rPr>
        <w:t>Strategic Research Framework</w:t>
      </w:r>
      <w:r>
        <w:t xml:space="preserve"> and the </w:t>
      </w:r>
      <w:r w:rsidRPr="008D7612">
        <w:rPr>
          <w:i/>
        </w:rPr>
        <w:t>A Framing of Futures</w:t>
      </w:r>
      <w:r>
        <w:t xml:space="preserve"> priorities?</w:t>
      </w:r>
    </w:p>
    <w:p w14:paraId="52AA0BF9" w14:textId="1CB9E2B4" w:rsidR="008D7612" w:rsidRDefault="008D7612" w:rsidP="008D7612">
      <w:pPr>
        <w:pStyle w:val="ListParagraph"/>
        <w:numPr>
          <w:ilvl w:val="0"/>
          <w:numId w:val="12"/>
        </w:numPr>
      </w:pPr>
      <w:r>
        <w:t>Wh</w:t>
      </w:r>
      <w:r w:rsidR="007A4F8B">
        <w:t xml:space="preserve">ere are the opportunities for Macquarie University </w:t>
      </w:r>
      <w:r>
        <w:t xml:space="preserve">to harness </w:t>
      </w:r>
      <w:proofErr w:type="spellStart"/>
      <w:r>
        <w:t>eResearch</w:t>
      </w:r>
      <w:proofErr w:type="spellEnd"/>
      <w:r>
        <w:t xml:space="preserve"> to build on </w:t>
      </w:r>
      <w:r w:rsidR="007A4F8B">
        <w:t>the University’s</w:t>
      </w:r>
      <w:r>
        <w:t xml:space="preserve"> research strengths?</w:t>
      </w:r>
    </w:p>
    <w:p w14:paraId="73BBA1C6" w14:textId="77777777" w:rsidR="008D7612" w:rsidRDefault="008D7612" w:rsidP="008D7612">
      <w:pPr>
        <w:pStyle w:val="ListParagraph"/>
        <w:numPr>
          <w:ilvl w:val="0"/>
          <w:numId w:val="12"/>
        </w:numPr>
      </w:pPr>
      <w:r>
        <w:t xml:space="preserve">How and by whom is </w:t>
      </w:r>
      <w:proofErr w:type="spellStart"/>
      <w:r>
        <w:t>eResearch</w:t>
      </w:r>
      <w:proofErr w:type="spellEnd"/>
      <w:r>
        <w:t xml:space="preserve"> direction guided and overseen across the University?</w:t>
      </w:r>
    </w:p>
    <w:p w14:paraId="2C981A3E" w14:textId="6D30E114" w:rsidR="007A4F8B" w:rsidRDefault="007A4F8B" w:rsidP="007A4F8B">
      <w:pPr>
        <w:pStyle w:val="ListParagraph"/>
        <w:numPr>
          <w:ilvl w:val="1"/>
          <w:numId w:val="12"/>
        </w:numPr>
      </w:pPr>
      <w:proofErr w:type="spellStart"/>
      <w:proofErr w:type="gramStart"/>
      <w:r>
        <w:t>eResearch</w:t>
      </w:r>
      <w:proofErr w:type="spellEnd"/>
      <w:proofErr w:type="gramEnd"/>
      <w:r>
        <w:t xml:space="preserve"> Committee/Advisory Group?</w:t>
      </w:r>
    </w:p>
    <w:p w14:paraId="623382E1" w14:textId="7FCD5EC5" w:rsidR="007A4F8B" w:rsidRDefault="007A4F8B" w:rsidP="007A4F8B">
      <w:pPr>
        <w:pStyle w:val="ListParagraph"/>
        <w:numPr>
          <w:ilvl w:val="1"/>
          <w:numId w:val="12"/>
        </w:numPr>
      </w:pPr>
      <w:proofErr w:type="spellStart"/>
      <w:proofErr w:type="gramStart"/>
      <w:r>
        <w:t>eResearch</w:t>
      </w:r>
      <w:proofErr w:type="spellEnd"/>
      <w:proofErr w:type="gramEnd"/>
      <w:r>
        <w:t xml:space="preserve"> Centre?</w:t>
      </w:r>
    </w:p>
    <w:p w14:paraId="04B99F8F" w14:textId="417262E6" w:rsidR="007A4F8B" w:rsidRDefault="007A4F8B" w:rsidP="007A4F8B">
      <w:pPr>
        <w:pStyle w:val="ListParagraph"/>
        <w:numPr>
          <w:ilvl w:val="1"/>
          <w:numId w:val="12"/>
        </w:numPr>
      </w:pPr>
      <w:r>
        <w:t>Other?</w:t>
      </w:r>
    </w:p>
    <w:p w14:paraId="357773EF" w14:textId="42A7709D" w:rsidR="007A4F8B" w:rsidRDefault="007A4F8B" w:rsidP="008D7612">
      <w:pPr>
        <w:pStyle w:val="ListParagraph"/>
        <w:numPr>
          <w:ilvl w:val="0"/>
          <w:numId w:val="12"/>
        </w:numPr>
      </w:pPr>
      <w:r>
        <w:t xml:space="preserve">Who needs to champion </w:t>
      </w:r>
      <w:proofErr w:type="spellStart"/>
      <w:r>
        <w:t>eResearch</w:t>
      </w:r>
      <w:proofErr w:type="spellEnd"/>
      <w:r>
        <w:t xml:space="preserve"> support and related activities?</w:t>
      </w:r>
    </w:p>
    <w:p w14:paraId="14B42CCF" w14:textId="77777777" w:rsidR="008D7612" w:rsidRDefault="008D7612" w:rsidP="008D7612">
      <w:pPr>
        <w:pStyle w:val="ListParagraph"/>
        <w:numPr>
          <w:ilvl w:val="0"/>
          <w:numId w:val="12"/>
        </w:numPr>
      </w:pPr>
      <w:r>
        <w:t>What action does the University need to take to provide, manage and govern data storage?</w:t>
      </w:r>
    </w:p>
    <w:p w14:paraId="5F27BFD6" w14:textId="77777777" w:rsidR="008D7612" w:rsidRDefault="008D7612" w:rsidP="008D7612">
      <w:pPr>
        <w:pStyle w:val="ListParagraph"/>
        <w:numPr>
          <w:ilvl w:val="0"/>
          <w:numId w:val="12"/>
        </w:numPr>
      </w:pPr>
      <w:r>
        <w:t xml:space="preserve">What action does the University need to take to provide, manage and govern </w:t>
      </w:r>
      <w:r w:rsidRPr="005E1CC8">
        <w:t>High Performance Computing</w:t>
      </w:r>
      <w:r>
        <w:t>?</w:t>
      </w:r>
    </w:p>
    <w:p w14:paraId="12F76F41" w14:textId="237DCDAA" w:rsidR="008D7612" w:rsidRDefault="00D25B8C" w:rsidP="008D7612">
      <w:pPr>
        <w:pStyle w:val="ListParagraph"/>
        <w:numPr>
          <w:ilvl w:val="0"/>
          <w:numId w:val="12"/>
        </w:numPr>
      </w:pPr>
      <w:r>
        <w:t>How and by whom is this funded</w:t>
      </w:r>
      <w:r w:rsidR="008D7612">
        <w:t>?</w:t>
      </w:r>
    </w:p>
    <w:p w14:paraId="5C48D883" w14:textId="2CE9B3BB" w:rsidR="007A4F8B" w:rsidRDefault="007A4F8B" w:rsidP="008D7612">
      <w:pPr>
        <w:pStyle w:val="ListParagraph"/>
        <w:numPr>
          <w:ilvl w:val="0"/>
          <w:numId w:val="12"/>
        </w:numPr>
      </w:pPr>
      <w:r>
        <w:t>How do we share infrastructure?</w:t>
      </w:r>
    </w:p>
    <w:p w14:paraId="71A6F3F3" w14:textId="5F60FE09" w:rsidR="007A4F8B" w:rsidRDefault="007A4F8B" w:rsidP="008D7612">
      <w:pPr>
        <w:pStyle w:val="ListParagraph"/>
        <w:numPr>
          <w:ilvl w:val="0"/>
          <w:numId w:val="12"/>
        </w:numPr>
      </w:pPr>
      <w:r>
        <w:t>How do we share expertise and knowledge?</w:t>
      </w:r>
    </w:p>
    <w:p w14:paraId="0A8953E6" w14:textId="77777777" w:rsidR="008D7612" w:rsidRDefault="008D7612" w:rsidP="008D7612">
      <w:pPr>
        <w:pStyle w:val="ListParagraph"/>
        <w:numPr>
          <w:ilvl w:val="0"/>
          <w:numId w:val="12"/>
        </w:numPr>
      </w:pPr>
      <w:r>
        <w:t xml:space="preserve">How do we communicate and promote the work Macquarie University researchers are doing in </w:t>
      </w:r>
      <w:proofErr w:type="spellStart"/>
      <w:r>
        <w:t>eResearch</w:t>
      </w:r>
      <w:proofErr w:type="spellEnd"/>
      <w:r>
        <w:t>?</w:t>
      </w:r>
    </w:p>
    <w:p w14:paraId="58853D31" w14:textId="49ED7435" w:rsidR="008D7612" w:rsidRDefault="00D25B8C" w:rsidP="008D7612">
      <w:pPr>
        <w:pStyle w:val="ListParagraph"/>
        <w:numPr>
          <w:ilvl w:val="0"/>
          <w:numId w:val="12"/>
        </w:numPr>
      </w:pPr>
      <w:r>
        <w:t xml:space="preserve">What policy and practice considerations need to underpin our </w:t>
      </w:r>
      <w:proofErr w:type="spellStart"/>
      <w:r>
        <w:t>eResearch</w:t>
      </w:r>
      <w:proofErr w:type="spellEnd"/>
      <w:r>
        <w:t xml:space="preserve"> activities?</w:t>
      </w:r>
    </w:p>
    <w:p w14:paraId="13CFAA91" w14:textId="77777777" w:rsidR="008D7612" w:rsidRDefault="008D7612" w:rsidP="008D7612">
      <w:pPr>
        <w:pStyle w:val="ListParagraph"/>
        <w:numPr>
          <w:ilvl w:val="0"/>
          <w:numId w:val="12"/>
        </w:numPr>
      </w:pPr>
      <w:r>
        <w:t xml:space="preserve">How do we build and develop a workforce with the expertise required to deliver innovative </w:t>
      </w:r>
      <w:proofErr w:type="spellStart"/>
      <w:r>
        <w:t>eResearch</w:t>
      </w:r>
      <w:proofErr w:type="spellEnd"/>
      <w:r>
        <w:t xml:space="preserve"> practice? </w:t>
      </w:r>
    </w:p>
    <w:p w14:paraId="7EB7E15D" w14:textId="78C287CC" w:rsidR="008D7612" w:rsidRDefault="008D7612" w:rsidP="008D7612">
      <w:pPr>
        <w:pStyle w:val="ListParagraph"/>
        <w:numPr>
          <w:ilvl w:val="1"/>
          <w:numId w:val="12"/>
        </w:numPr>
      </w:pPr>
      <w:r>
        <w:t>Do we build collaborative projects with internal or external technologists</w:t>
      </w:r>
    </w:p>
    <w:p w14:paraId="20CF2763" w14:textId="77777777" w:rsidR="008D7612" w:rsidRDefault="008D7612" w:rsidP="008D7612">
      <w:pPr>
        <w:pStyle w:val="ListParagraph"/>
        <w:numPr>
          <w:ilvl w:val="1"/>
          <w:numId w:val="12"/>
        </w:numPr>
      </w:pPr>
      <w:r>
        <w:t>Do we use an external service provider, similar to Intersect and have the majority of our expertise off the Macquarie University payroll?</w:t>
      </w:r>
    </w:p>
    <w:p w14:paraId="4626C8F9" w14:textId="77777777" w:rsidR="008D7612" w:rsidRDefault="008D7612" w:rsidP="008D7612">
      <w:pPr>
        <w:pStyle w:val="ListParagraph"/>
        <w:numPr>
          <w:ilvl w:val="1"/>
          <w:numId w:val="12"/>
        </w:numPr>
      </w:pPr>
      <w:r>
        <w:t>Do we hire in external contractors?</w:t>
      </w:r>
    </w:p>
    <w:p w14:paraId="58F8C149" w14:textId="6EF5C8EC" w:rsidR="008D7612" w:rsidRDefault="008D7612" w:rsidP="008D7612">
      <w:pPr>
        <w:pStyle w:val="ListParagraph"/>
        <w:numPr>
          <w:ilvl w:val="1"/>
          <w:numId w:val="12"/>
        </w:numPr>
      </w:pPr>
      <w:r>
        <w:t xml:space="preserve">Do we </w:t>
      </w:r>
      <w:r w:rsidR="007A4F8B">
        <w:t>develop the required skills amongst our existing workforce?</w:t>
      </w:r>
    </w:p>
    <w:p w14:paraId="5A1BFCA3" w14:textId="77777777" w:rsidR="008D7612" w:rsidRDefault="008D7612" w:rsidP="008D7612">
      <w:pPr>
        <w:pStyle w:val="ListParagraph"/>
        <w:numPr>
          <w:ilvl w:val="1"/>
          <w:numId w:val="12"/>
        </w:numPr>
      </w:pPr>
      <w:r>
        <w:t>Do we approach this through a combination of these options?</w:t>
      </w:r>
    </w:p>
    <w:p w14:paraId="11D9CACF" w14:textId="662A08EF" w:rsidR="008D7612" w:rsidRDefault="008D7612" w:rsidP="008D7612">
      <w:pPr>
        <w:pStyle w:val="ListParagraph"/>
        <w:numPr>
          <w:ilvl w:val="0"/>
          <w:numId w:val="12"/>
        </w:numPr>
      </w:pPr>
      <w:r>
        <w:t xml:space="preserve">Where should this </w:t>
      </w:r>
      <w:r w:rsidR="007A4F8B">
        <w:t xml:space="preserve">human </w:t>
      </w:r>
      <w:r>
        <w:t>capability sit within the University structure?</w:t>
      </w:r>
    </w:p>
    <w:p w14:paraId="75A594C2" w14:textId="614D7E30" w:rsidR="007A4F8B" w:rsidRDefault="007A4F8B" w:rsidP="007A4F8B">
      <w:pPr>
        <w:pStyle w:val="ListParagraph"/>
        <w:numPr>
          <w:ilvl w:val="1"/>
          <w:numId w:val="12"/>
        </w:numPr>
      </w:pPr>
      <w:r>
        <w:t>A separate e-Research or Digital Humanities centre?</w:t>
      </w:r>
    </w:p>
    <w:p w14:paraId="18F3F011" w14:textId="2EBEBC7F" w:rsidR="007A4F8B" w:rsidRDefault="007A4F8B" w:rsidP="007A4F8B">
      <w:pPr>
        <w:pStyle w:val="ListParagraph"/>
        <w:numPr>
          <w:ilvl w:val="1"/>
          <w:numId w:val="12"/>
        </w:numPr>
      </w:pPr>
      <w:r>
        <w:t>Within departments or faculties?</w:t>
      </w:r>
    </w:p>
    <w:p w14:paraId="74EED23F" w14:textId="1664A947" w:rsidR="007A4F8B" w:rsidRDefault="007A4F8B" w:rsidP="007A4F8B">
      <w:pPr>
        <w:pStyle w:val="ListParagraph"/>
        <w:numPr>
          <w:ilvl w:val="1"/>
          <w:numId w:val="12"/>
        </w:numPr>
      </w:pPr>
      <w:r>
        <w:t>External to the University?</w:t>
      </w:r>
    </w:p>
    <w:p w14:paraId="699BE286" w14:textId="77777777" w:rsidR="000E53FD" w:rsidRDefault="007A4F8B" w:rsidP="007A4F8B">
      <w:pPr>
        <w:pStyle w:val="ListParagraph"/>
        <w:numPr>
          <w:ilvl w:val="0"/>
          <w:numId w:val="12"/>
        </w:numPr>
      </w:pPr>
      <w:r>
        <w:t>How</w:t>
      </w:r>
      <w:r w:rsidR="000E53FD">
        <w:t xml:space="preserve"> and in what</w:t>
      </w:r>
      <w:r>
        <w:t xml:space="preserve"> will they be trained? </w:t>
      </w:r>
    </w:p>
    <w:p w14:paraId="7ACBCF6A" w14:textId="77777777" w:rsidR="000E53FD" w:rsidRDefault="007A4F8B" w:rsidP="007A4F8B">
      <w:pPr>
        <w:pStyle w:val="ListParagraph"/>
        <w:numPr>
          <w:ilvl w:val="0"/>
          <w:numId w:val="12"/>
        </w:numPr>
      </w:pPr>
      <w:r>
        <w:t>What educational qualifications and background will they have</w:t>
      </w:r>
      <w:r w:rsidR="000E53FD">
        <w:t>?</w:t>
      </w:r>
    </w:p>
    <w:p w14:paraId="00651702" w14:textId="188BC5A0" w:rsidR="007A4F8B" w:rsidRDefault="000E53FD" w:rsidP="007A4F8B">
      <w:pPr>
        <w:pStyle w:val="ListParagraph"/>
        <w:numPr>
          <w:ilvl w:val="0"/>
          <w:numId w:val="12"/>
        </w:numPr>
      </w:pPr>
      <w:r>
        <w:lastRenderedPageBreak/>
        <w:t>W</w:t>
      </w:r>
      <w:r w:rsidR="007A4F8B">
        <w:t xml:space="preserve">hat academic programs </w:t>
      </w:r>
      <w:r>
        <w:t>are needed to support them</w:t>
      </w:r>
      <w:r w:rsidR="007A4F8B">
        <w:t xml:space="preserve"> </w:t>
      </w:r>
      <w:proofErr w:type="spellStart"/>
      <w:r w:rsidR="007A4F8B">
        <w:t>them</w:t>
      </w:r>
      <w:proofErr w:type="spellEnd"/>
      <w:r w:rsidR="007A4F8B">
        <w:t xml:space="preserve">? </w:t>
      </w:r>
    </w:p>
    <w:p w14:paraId="6B46325A" w14:textId="594D7F5F" w:rsidR="008D7612" w:rsidRDefault="008D7612" w:rsidP="008D7612">
      <w:pPr>
        <w:pStyle w:val="ListParagraph"/>
        <w:numPr>
          <w:ilvl w:val="0"/>
          <w:numId w:val="12"/>
        </w:numPr>
      </w:pPr>
      <w:r>
        <w:t>How do we create a learning environment for our s</w:t>
      </w:r>
      <w:r w:rsidR="007A4F8B">
        <w:t xml:space="preserve">taff and students </w:t>
      </w:r>
      <w:r>
        <w:t xml:space="preserve">that enables the University to strengthen its </w:t>
      </w:r>
      <w:proofErr w:type="spellStart"/>
      <w:r>
        <w:t>eResearch</w:t>
      </w:r>
      <w:proofErr w:type="spellEnd"/>
      <w:r>
        <w:t xml:space="preserve"> capabilities?</w:t>
      </w:r>
    </w:p>
    <w:p w14:paraId="4ECA945C" w14:textId="18D517C1" w:rsidR="008D7612" w:rsidRDefault="007A4F8B" w:rsidP="008D7612">
      <w:pPr>
        <w:pStyle w:val="ListParagraph"/>
        <w:numPr>
          <w:ilvl w:val="0"/>
          <w:numId w:val="12"/>
        </w:numPr>
      </w:pPr>
      <w:r>
        <w:t>How do Macquarie University</w:t>
      </w:r>
      <w:r w:rsidR="008D7612">
        <w:t xml:space="preserve"> researchers want to collaborate using </w:t>
      </w:r>
      <w:proofErr w:type="spellStart"/>
      <w:r w:rsidR="008D7612">
        <w:t>eResearch</w:t>
      </w:r>
      <w:proofErr w:type="spellEnd"/>
      <w:r w:rsidR="008D7612">
        <w:t>?</w:t>
      </w:r>
    </w:p>
    <w:p w14:paraId="4CAA6DC7" w14:textId="2E60DD97" w:rsidR="008D7612" w:rsidRDefault="008D7612" w:rsidP="008D7612">
      <w:pPr>
        <w:pStyle w:val="ListParagraph"/>
        <w:numPr>
          <w:ilvl w:val="1"/>
          <w:numId w:val="12"/>
        </w:numPr>
      </w:pPr>
      <w:r>
        <w:t xml:space="preserve">How do </w:t>
      </w:r>
      <w:r w:rsidR="00D25B8C">
        <w:t>we</w:t>
      </w:r>
      <w:r>
        <w:t xml:space="preserve"> want to collaborate across disciplines?</w:t>
      </w:r>
    </w:p>
    <w:p w14:paraId="41425BC3" w14:textId="08C27358" w:rsidR="008D7612" w:rsidRDefault="007A4F8B" w:rsidP="008D7612">
      <w:pPr>
        <w:pStyle w:val="ListParagraph"/>
        <w:numPr>
          <w:ilvl w:val="1"/>
          <w:numId w:val="12"/>
        </w:numPr>
      </w:pPr>
      <w:r>
        <w:t xml:space="preserve">How do </w:t>
      </w:r>
      <w:r w:rsidR="00D25B8C">
        <w:t>we</w:t>
      </w:r>
      <w:r>
        <w:t xml:space="preserve"> want to collaborate </w:t>
      </w:r>
      <w:r w:rsidR="008D7612">
        <w:t>other institutions?</w:t>
      </w:r>
    </w:p>
    <w:p w14:paraId="29C713F8" w14:textId="793F220C" w:rsidR="008A12D3" w:rsidRDefault="008D7612" w:rsidP="008D7612">
      <w:pPr>
        <w:pStyle w:val="ListParagraph"/>
        <w:numPr>
          <w:ilvl w:val="0"/>
          <w:numId w:val="12"/>
        </w:numPr>
      </w:pPr>
      <w:r>
        <w:t xml:space="preserve">How do we introduce and involve our Undergraduate and Postgraduate and HDR cohort to </w:t>
      </w:r>
      <w:proofErr w:type="spellStart"/>
      <w:r>
        <w:t>eResearch</w:t>
      </w:r>
      <w:proofErr w:type="spellEnd"/>
      <w:r>
        <w:t>?</w:t>
      </w:r>
    </w:p>
    <w:p w14:paraId="67CC2F67" w14:textId="77777777" w:rsidR="00400770" w:rsidRDefault="00400770"/>
    <w:p w14:paraId="060A1A81" w14:textId="22289E0C" w:rsidR="008A12D3" w:rsidRPr="00400770" w:rsidRDefault="00400770" w:rsidP="00400770">
      <w:pPr>
        <w:jc w:val="center"/>
        <w:rPr>
          <w:b/>
        </w:rPr>
      </w:pPr>
      <w:r w:rsidRPr="00400770">
        <w:rPr>
          <w:b/>
        </w:rPr>
        <w:t>Please provide all feedback to Emily Brennan, PVCR Project Coordinator at Emily.brennan@mq.edu.au</w:t>
      </w:r>
      <w:r w:rsidR="008A12D3" w:rsidRPr="00400770">
        <w:rPr>
          <w:b/>
        </w:rPr>
        <w:br w:type="page"/>
      </w:r>
    </w:p>
    <w:p w14:paraId="2D9CEACA" w14:textId="0C539DDC" w:rsidR="008A12D3" w:rsidRPr="008A12D3" w:rsidRDefault="008A12D3" w:rsidP="008A12D3">
      <w:pPr>
        <w:pStyle w:val="ListParagraph"/>
        <w:numPr>
          <w:ilvl w:val="0"/>
          <w:numId w:val="8"/>
        </w:numPr>
        <w:spacing w:after="0" w:line="240" w:lineRule="auto"/>
        <w:rPr>
          <w:b/>
        </w:rPr>
      </w:pPr>
      <w:r w:rsidRPr="008A12D3">
        <w:rPr>
          <w:b/>
        </w:rPr>
        <w:lastRenderedPageBreak/>
        <w:t>REFERENCES</w:t>
      </w:r>
    </w:p>
    <w:p w14:paraId="77E809C4" w14:textId="77777777" w:rsidR="008A12D3" w:rsidRPr="00A71010" w:rsidRDefault="008A12D3" w:rsidP="008A12D3">
      <w:pPr>
        <w:spacing w:after="0" w:line="240" w:lineRule="auto"/>
        <w:rPr>
          <w:b/>
        </w:rPr>
      </w:pPr>
    </w:p>
    <w:p w14:paraId="1BCBA1DC" w14:textId="77777777" w:rsidR="008A12D3" w:rsidRDefault="008A12D3" w:rsidP="008A12D3">
      <w:pPr>
        <w:spacing w:after="0" w:line="240" w:lineRule="auto"/>
      </w:pPr>
      <w:r>
        <w:t xml:space="preserve">American Council of Learned Societies 2006, </w:t>
      </w:r>
      <w:r w:rsidRPr="00ED5EE7">
        <w:rPr>
          <w:i/>
        </w:rPr>
        <w:t>Our Cultural Commonwealth</w:t>
      </w:r>
      <w:r>
        <w:t>, American Council of Learned Societies, New York</w:t>
      </w:r>
    </w:p>
    <w:p w14:paraId="6E0D3FEC" w14:textId="77777777" w:rsidR="008A12D3" w:rsidRDefault="008A12D3" w:rsidP="008A12D3">
      <w:pPr>
        <w:spacing w:after="0" w:line="240" w:lineRule="auto"/>
      </w:pPr>
    </w:p>
    <w:p w14:paraId="0D5A3A1F" w14:textId="77777777" w:rsidR="008A12D3" w:rsidRDefault="008A12D3" w:rsidP="008A12D3">
      <w:pPr>
        <w:spacing w:after="0" w:line="240" w:lineRule="auto"/>
      </w:pPr>
      <w:r>
        <w:t xml:space="preserve">ARC &amp; NHMRC (2007), </w:t>
      </w:r>
      <w:r w:rsidRPr="00993543">
        <w:rPr>
          <w:i/>
        </w:rPr>
        <w:t>Australian Code for the Responsible Conduct of Research</w:t>
      </w:r>
      <w:r>
        <w:t>, Australian Government</w:t>
      </w:r>
    </w:p>
    <w:p w14:paraId="597474A0" w14:textId="77777777" w:rsidR="008A12D3" w:rsidRDefault="008A12D3" w:rsidP="008A12D3">
      <w:pPr>
        <w:spacing w:after="0" w:line="240" w:lineRule="auto"/>
      </w:pPr>
    </w:p>
    <w:p w14:paraId="63AB1542" w14:textId="77777777" w:rsidR="008A12D3" w:rsidRDefault="008A12D3" w:rsidP="008A12D3">
      <w:pPr>
        <w:spacing w:after="0" w:line="240" w:lineRule="auto"/>
      </w:pPr>
      <w:proofErr w:type="spellStart"/>
      <w:r w:rsidRPr="006B4C87">
        <w:rPr>
          <w:rStyle w:val="Hyperlink"/>
        </w:rPr>
        <w:t>Casserly</w:t>
      </w:r>
      <w:proofErr w:type="spellEnd"/>
      <w:r w:rsidRPr="006B4C87">
        <w:rPr>
          <w:rStyle w:val="Hyperlink"/>
        </w:rPr>
        <w:t>, M 2012</w:t>
      </w:r>
      <w:r>
        <w:rPr>
          <w:rStyle w:val="Hyperlink"/>
        </w:rPr>
        <w:t xml:space="preserve">, ’10 jobs that didn’t exist 10 years ago’, Forbes, 11 May 2012. Available online at </w:t>
      </w:r>
      <w:hyperlink r:id="rId13" w:history="1">
        <w:r w:rsidRPr="00721295">
          <w:rPr>
            <w:rStyle w:val="Hyperlink"/>
          </w:rPr>
          <w:t>http://www.forbes.com/sites/meghancasserly/2012/05/11/10-jobs-that-didnt-exist-10-years-ago/</w:t>
        </w:r>
      </w:hyperlink>
    </w:p>
    <w:p w14:paraId="355B7DD6" w14:textId="77777777" w:rsidR="008A12D3" w:rsidRDefault="008A12D3" w:rsidP="008A12D3">
      <w:pPr>
        <w:spacing w:after="0" w:line="240" w:lineRule="auto"/>
        <w:rPr>
          <w:rStyle w:val="Hyperlink"/>
        </w:rPr>
      </w:pPr>
      <w:r>
        <w:rPr>
          <w:rStyle w:val="Hyperlink"/>
        </w:rPr>
        <w:t>Viewed 1 September 2015</w:t>
      </w:r>
    </w:p>
    <w:p w14:paraId="11F7540F" w14:textId="77777777" w:rsidR="008A12D3" w:rsidRDefault="008A12D3" w:rsidP="008A12D3">
      <w:pPr>
        <w:spacing w:after="0" w:line="240" w:lineRule="auto"/>
      </w:pPr>
    </w:p>
    <w:p w14:paraId="58608AB4" w14:textId="77777777" w:rsidR="008A12D3" w:rsidRDefault="008A12D3" w:rsidP="008A12D3">
      <w:pPr>
        <w:spacing w:after="0" w:line="240" w:lineRule="auto"/>
      </w:pPr>
      <w:r>
        <w:t xml:space="preserve">Cochran, Tom 2015, </w:t>
      </w:r>
      <w:r w:rsidRPr="00CF5407">
        <w:rPr>
          <w:i/>
        </w:rPr>
        <w:t xml:space="preserve">Status Report on the NCRIS </w:t>
      </w:r>
      <w:proofErr w:type="spellStart"/>
      <w:r w:rsidRPr="00CF5407">
        <w:rPr>
          <w:i/>
        </w:rPr>
        <w:t>eResearch</w:t>
      </w:r>
      <w:proofErr w:type="spellEnd"/>
      <w:r w:rsidRPr="00CF5407">
        <w:rPr>
          <w:i/>
        </w:rPr>
        <w:t xml:space="preserve"> capability</w:t>
      </w:r>
      <w:r>
        <w:rPr>
          <w:i/>
        </w:rPr>
        <w:t xml:space="preserve">, </w:t>
      </w:r>
      <w:r>
        <w:t>Department of Education and Training</w:t>
      </w:r>
    </w:p>
    <w:p w14:paraId="7694DC62" w14:textId="77777777" w:rsidR="001C7E59" w:rsidRDefault="001C7E59" w:rsidP="008A12D3">
      <w:pPr>
        <w:spacing w:after="0" w:line="240" w:lineRule="auto"/>
      </w:pPr>
    </w:p>
    <w:p w14:paraId="47D799B5" w14:textId="35308334" w:rsidR="001C7E59" w:rsidRDefault="001C7E59" w:rsidP="008A12D3">
      <w:pPr>
        <w:spacing w:after="0" w:line="240" w:lineRule="auto"/>
      </w:pPr>
      <w:r>
        <w:t xml:space="preserve">Commonwealth of Australia, Department of the Prime Minister and </w:t>
      </w:r>
      <w:proofErr w:type="spellStart"/>
      <w:r>
        <w:t>Cabine</w:t>
      </w:r>
      <w:proofErr w:type="spellEnd"/>
      <w:r>
        <w:t>, National Innovation and Science Agenda, 2015</w:t>
      </w:r>
    </w:p>
    <w:p w14:paraId="0AB611A2" w14:textId="77777777" w:rsidR="008A12D3" w:rsidRDefault="008A12D3" w:rsidP="008A12D3">
      <w:pPr>
        <w:spacing w:after="0" w:line="240" w:lineRule="auto"/>
      </w:pPr>
    </w:p>
    <w:p w14:paraId="05CF1918" w14:textId="77777777" w:rsidR="008A12D3" w:rsidRDefault="008A12D3" w:rsidP="008A12D3">
      <w:pPr>
        <w:spacing w:after="0" w:line="240" w:lineRule="auto"/>
      </w:pPr>
      <w:r>
        <w:t xml:space="preserve">‘ERC Strategic Issues: Open Access’, </w:t>
      </w:r>
      <w:r w:rsidRPr="00003B2F">
        <w:rPr>
          <w:i/>
        </w:rPr>
        <w:t>research*</w:t>
      </w:r>
      <w:proofErr w:type="spellStart"/>
      <w:r w:rsidRPr="00003B2F">
        <w:rPr>
          <w:i/>
        </w:rPr>
        <w:t>eu</w:t>
      </w:r>
      <w:proofErr w:type="spellEnd"/>
      <w:r w:rsidRPr="00003B2F">
        <w:rPr>
          <w:i/>
        </w:rPr>
        <w:t xml:space="preserve"> focus</w:t>
      </w:r>
      <w:r>
        <w:t>, No. 3, April 2009, European Council</w:t>
      </w:r>
    </w:p>
    <w:p w14:paraId="75026BC2" w14:textId="77777777" w:rsidR="008A12D3" w:rsidRDefault="008A12D3" w:rsidP="008A12D3">
      <w:pPr>
        <w:spacing w:after="0" w:line="240" w:lineRule="auto"/>
      </w:pPr>
      <w:r>
        <w:t xml:space="preserve">European Commission (2013), </w:t>
      </w:r>
      <w:r w:rsidRPr="006C5547">
        <w:rPr>
          <w:i/>
        </w:rPr>
        <w:t>Press Release: Commission launches pilot to open up publicly funded research data</w:t>
      </w:r>
      <w:r>
        <w:t xml:space="preserve">, Available online at </w:t>
      </w:r>
      <w:hyperlink r:id="rId14" w:history="1">
        <w:r w:rsidRPr="00721295">
          <w:rPr>
            <w:rStyle w:val="Hyperlink"/>
          </w:rPr>
          <w:t>http://europa.eu/rapid/press-release_IP-13-1257_en.htm</w:t>
        </w:r>
      </w:hyperlink>
      <w:r>
        <w:t xml:space="preserve"> (viewed 1 October 2015)</w:t>
      </w:r>
    </w:p>
    <w:p w14:paraId="78ECDA99" w14:textId="77777777" w:rsidR="008A12D3" w:rsidRDefault="008A12D3" w:rsidP="008A12D3">
      <w:pPr>
        <w:spacing w:after="0" w:line="240" w:lineRule="auto"/>
      </w:pPr>
    </w:p>
    <w:p w14:paraId="318B19CB" w14:textId="77777777" w:rsidR="008A12D3" w:rsidRDefault="008A12D3" w:rsidP="008A12D3">
      <w:pPr>
        <w:spacing w:after="0" w:line="240" w:lineRule="auto"/>
      </w:pPr>
      <w:r>
        <w:t xml:space="preserve">European Research Council Scientific Council (2014), </w:t>
      </w:r>
      <w:r w:rsidRPr="00A808D7">
        <w:rPr>
          <w:i/>
        </w:rPr>
        <w:t>Open Access Guidelines for research results funded by the ERC</w:t>
      </w:r>
      <w:r>
        <w:t>, revised December 2014</w:t>
      </w:r>
    </w:p>
    <w:p w14:paraId="40693E1D" w14:textId="77777777" w:rsidR="008A12D3" w:rsidRDefault="008A12D3" w:rsidP="008A12D3">
      <w:pPr>
        <w:spacing w:after="0" w:line="240" w:lineRule="auto"/>
      </w:pPr>
    </w:p>
    <w:p w14:paraId="2080AF4F" w14:textId="77777777" w:rsidR="008A12D3" w:rsidRDefault="008A12D3" w:rsidP="008A12D3">
      <w:pPr>
        <w:spacing w:after="0" w:line="240" w:lineRule="auto"/>
      </w:pPr>
      <w:proofErr w:type="spellStart"/>
      <w:r>
        <w:t>Herper</w:t>
      </w:r>
      <w:proofErr w:type="spellEnd"/>
      <w:r>
        <w:t xml:space="preserve">, M 2013, ‘No more secrets: Medtronic shows how open science might work in the real world’, Forbes, 19 June, 2013. Available online at </w:t>
      </w:r>
      <w:hyperlink r:id="rId15" w:history="1">
        <w:r w:rsidRPr="00721295">
          <w:rPr>
            <w:rStyle w:val="Hyperlink"/>
          </w:rPr>
          <w:t>http://www.forbes.com/sites/matthewherper/2013/06/19/</w:t>
        </w:r>
      </w:hyperlink>
      <w:r>
        <w:t xml:space="preserve">  Viewed 1 September 2015 </w:t>
      </w:r>
    </w:p>
    <w:p w14:paraId="03D23C33" w14:textId="77777777" w:rsidR="008A12D3" w:rsidRDefault="008A12D3" w:rsidP="008A12D3">
      <w:pPr>
        <w:spacing w:after="0" w:line="240" w:lineRule="auto"/>
      </w:pPr>
    </w:p>
    <w:p w14:paraId="335C237B" w14:textId="77777777" w:rsidR="008A12D3" w:rsidRDefault="008A12D3" w:rsidP="008A12D3">
      <w:pPr>
        <w:spacing w:after="0" w:line="240" w:lineRule="auto"/>
      </w:pPr>
      <w:r>
        <w:t xml:space="preserve">Hey, Tony and </w:t>
      </w:r>
      <w:proofErr w:type="spellStart"/>
      <w:r>
        <w:t>Trefethen</w:t>
      </w:r>
      <w:proofErr w:type="spellEnd"/>
      <w:r>
        <w:t xml:space="preserve">, Anne 2002, ‘The UK </w:t>
      </w:r>
      <w:proofErr w:type="spellStart"/>
      <w:r>
        <w:t>eScience</w:t>
      </w:r>
      <w:proofErr w:type="spellEnd"/>
      <w:r>
        <w:t xml:space="preserve"> Core Programme and the Grid’, </w:t>
      </w:r>
      <w:r w:rsidRPr="006B3B01">
        <w:rPr>
          <w:i/>
        </w:rPr>
        <w:t>TERENA Networking Conference</w:t>
      </w:r>
      <w:r>
        <w:rPr>
          <w:i/>
        </w:rPr>
        <w:t>,</w:t>
      </w:r>
      <w:r w:rsidRPr="006B3B01">
        <w:rPr>
          <w:i/>
        </w:rPr>
        <w:t xml:space="preserve"> </w:t>
      </w:r>
      <w:r w:rsidRPr="006B3B01">
        <w:t xml:space="preserve">June 2002 </w:t>
      </w:r>
      <w:r>
        <w:t>Limerick, Trans-European Research and Education Networking Association</w:t>
      </w:r>
    </w:p>
    <w:p w14:paraId="70C9ECF0" w14:textId="77777777" w:rsidR="008A12D3" w:rsidRDefault="008A12D3" w:rsidP="008A12D3">
      <w:pPr>
        <w:spacing w:after="0" w:line="240" w:lineRule="auto"/>
      </w:pPr>
    </w:p>
    <w:p w14:paraId="0D93A96E" w14:textId="77777777" w:rsidR="008A12D3" w:rsidRDefault="008A12D3" w:rsidP="008A12D3">
      <w:pPr>
        <w:spacing w:after="0" w:line="240" w:lineRule="auto"/>
        <w:rPr>
          <w:rStyle w:val="citation"/>
        </w:rPr>
      </w:pPr>
      <w:r>
        <w:rPr>
          <w:rStyle w:val="citation"/>
        </w:rPr>
        <w:t>McKinsey Global Institute 2011,</w:t>
      </w:r>
      <w:r w:rsidRPr="00A17B71">
        <w:rPr>
          <w:rStyle w:val="citation"/>
          <w:i/>
        </w:rPr>
        <w:t xml:space="preserve"> </w:t>
      </w:r>
      <w:proofErr w:type="gramStart"/>
      <w:r w:rsidRPr="00A17B71">
        <w:rPr>
          <w:rStyle w:val="citation"/>
          <w:i/>
        </w:rPr>
        <w:t>Big</w:t>
      </w:r>
      <w:proofErr w:type="gramEnd"/>
      <w:r w:rsidRPr="00A17B71">
        <w:rPr>
          <w:rStyle w:val="citation"/>
          <w:i/>
        </w:rPr>
        <w:t xml:space="preserve"> data: The next frontier for innovation, competition, and productivity</w:t>
      </w:r>
      <w:r>
        <w:rPr>
          <w:rStyle w:val="citation"/>
        </w:rPr>
        <w:t>, McKinsey and Company</w:t>
      </w:r>
    </w:p>
    <w:p w14:paraId="74D78659" w14:textId="77777777" w:rsidR="008A12D3" w:rsidRDefault="008A12D3" w:rsidP="008A12D3">
      <w:pPr>
        <w:spacing w:after="0" w:line="240" w:lineRule="auto"/>
      </w:pPr>
    </w:p>
    <w:p w14:paraId="0B49F6AD" w14:textId="77777777" w:rsidR="008A12D3" w:rsidRDefault="008A12D3" w:rsidP="008A12D3">
      <w:pPr>
        <w:spacing w:after="0" w:line="240" w:lineRule="auto"/>
      </w:pPr>
      <w:r>
        <w:t xml:space="preserve">National Science and Technology Council (2011), </w:t>
      </w:r>
      <w:r w:rsidRPr="0094086D">
        <w:rPr>
          <w:i/>
        </w:rPr>
        <w:t>Materials Genome Initiative for Global Competitiveness</w:t>
      </w:r>
      <w:r>
        <w:t>, Office of the President of the United States of America, Washington</w:t>
      </w:r>
    </w:p>
    <w:p w14:paraId="2F890585" w14:textId="77777777" w:rsidR="008A12D3" w:rsidRDefault="008A12D3" w:rsidP="008A12D3">
      <w:pPr>
        <w:spacing w:after="0" w:line="240" w:lineRule="auto"/>
      </w:pPr>
    </w:p>
    <w:p w14:paraId="36A57B69" w14:textId="77777777" w:rsidR="008A12D3" w:rsidRDefault="008A12D3" w:rsidP="008A12D3">
      <w:pPr>
        <w:spacing w:after="0" w:line="240" w:lineRule="auto"/>
      </w:pPr>
      <w:r>
        <w:t xml:space="preserve">O’Brien, Linda 2005, ‘E-Research: An Imperative for Strengthening Institutional Partnerships’, </w:t>
      </w:r>
      <w:proofErr w:type="spellStart"/>
      <w:r w:rsidRPr="00090544">
        <w:rPr>
          <w:i/>
        </w:rPr>
        <w:t>Educause</w:t>
      </w:r>
      <w:proofErr w:type="spellEnd"/>
      <w:r w:rsidRPr="00090544">
        <w:rPr>
          <w:i/>
        </w:rPr>
        <w:t xml:space="preserve"> Review</w:t>
      </w:r>
      <w:r>
        <w:t>, November-December 2005, pp 64-76</w:t>
      </w:r>
    </w:p>
    <w:p w14:paraId="057C388D" w14:textId="77777777" w:rsidR="008A12D3" w:rsidRDefault="008A12D3" w:rsidP="008A12D3">
      <w:pPr>
        <w:spacing w:after="0" w:line="240" w:lineRule="auto"/>
      </w:pPr>
    </w:p>
    <w:p w14:paraId="09921EB1" w14:textId="77777777" w:rsidR="008A12D3" w:rsidRDefault="008A12D3" w:rsidP="008A12D3">
      <w:pPr>
        <w:spacing w:after="0" w:line="240" w:lineRule="auto"/>
      </w:pPr>
      <w:proofErr w:type="spellStart"/>
      <w:r>
        <w:rPr>
          <w:rStyle w:val="self-citation-authors"/>
        </w:rPr>
        <w:t>Piwowar</w:t>
      </w:r>
      <w:proofErr w:type="spellEnd"/>
      <w:r>
        <w:rPr>
          <w:rStyle w:val="self-citation-authors"/>
        </w:rPr>
        <w:t xml:space="preserve"> HA, Vision TJ</w:t>
      </w:r>
      <w:r>
        <w:t xml:space="preserve"> (</w:t>
      </w:r>
      <w:r>
        <w:rPr>
          <w:rStyle w:val="self-citation-year"/>
        </w:rPr>
        <w:t>2013</w:t>
      </w:r>
      <w:r>
        <w:t xml:space="preserve">) </w:t>
      </w:r>
      <w:r>
        <w:rPr>
          <w:rStyle w:val="self-citation-title"/>
        </w:rPr>
        <w:t>Data reuse and the open data citation advantage</w:t>
      </w:r>
      <w:r>
        <w:t xml:space="preserve">. </w:t>
      </w:r>
      <w:proofErr w:type="spellStart"/>
      <w:r>
        <w:rPr>
          <w:rStyle w:val="self-citation-journal"/>
        </w:rPr>
        <w:t>PeerJ</w:t>
      </w:r>
      <w:proofErr w:type="spellEnd"/>
      <w:r>
        <w:t xml:space="preserve"> </w:t>
      </w:r>
      <w:r>
        <w:rPr>
          <w:rStyle w:val="self-citation-volume"/>
        </w:rPr>
        <w:t>1</w:t>
      </w:r>
      <w:r>
        <w:t>:</w:t>
      </w:r>
      <w:r>
        <w:rPr>
          <w:rStyle w:val="self-citation-elocation"/>
        </w:rPr>
        <w:t>e175</w:t>
      </w:r>
      <w:r>
        <w:t xml:space="preserve"> </w:t>
      </w:r>
      <w:hyperlink r:id="rId16" w:history="1">
        <w:r w:rsidRPr="00721295">
          <w:rPr>
            <w:rStyle w:val="Hyperlink"/>
          </w:rPr>
          <w:t>https://dx.doi.org/10.7717/peerj.175 Viewed 1 October 2015</w:t>
        </w:r>
      </w:hyperlink>
    </w:p>
    <w:p w14:paraId="45B018E2" w14:textId="77777777" w:rsidR="008A12D3" w:rsidRDefault="008A12D3" w:rsidP="008A12D3">
      <w:pPr>
        <w:spacing w:after="0" w:line="240" w:lineRule="auto"/>
      </w:pPr>
    </w:p>
    <w:p w14:paraId="0FB772DE" w14:textId="77777777" w:rsidR="008A12D3" w:rsidRDefault="008A12D3" w:rsidP="008A12D3">
      <w:pPr>
        <w:spacing w:after="0" w:line="240" w:lineRule="auto"/>
      </w:pPr>
      <w:r>
        <w:t xml:space="preserve">Reid, A 2015, Highlights of the </w:t>
      </w:r>
      <w:proofErr w:type="spellStart"/>
      <w:r>
        <w:t>eResearch</w:t>
      </w:r>
      <w:proofErr w:type="spellEnd"/>
      <w:r>
        <w:t xml:space="preserve"> Australasia 2015 conference, </w:t>
      </w:r>
      <w:r w:rsidRPr="006338EC">
        <w:rPr>
          <w:i/>
        </w:rPr>
        <w:t>AARNET News</w:t>
      </w:r>
      <w:r>
        <w:t xml:space="preserve">. </w:t>
      </w:r>
      <w:hyperlink r:id="rId17" w:history="1">
        <w:r w:rsidRPr="00721295">
          <w:rPr>
            <w:rStyle w:val="Hyperlink"/>
          </w:rPr>
          <w:t>http://news.aarnet.edu.au/higlights-of-the-eresearch-australasia-2015-conference/</w:t>
        </w:r>
      </w:hyperlink>
      <w:r>
        <w:t xml:space="preserve"> Viewed 30 October 2015</w:t>
      </w:r>
    </w:p>
    <w:p w14:paraId="0BBE5D2F" w14:textId="77777777" w:rsidR="008A12D3" w:rsidRDefault="008A12D3" w:rsidP="008A12D3">
      <w:pPr>
        <w:spacing w:after="0" w:line="240" w:lineRule="auto"/>
      </w:pPr>
    </w:p>
    <w:p w14:paraId="21097FD6" w14:textId="77777777" w:rsidR="008A12D3" w:rsidRDefault="008A12D3" w:rsidP="008A12D3">
      <w:pPr>
        <w:spacing w:after="0" w:line="240" w:lineRule="auto"/>
      </w:pPr>
      <w:r>
        <w:lastRenderedPageBreak/>
        <w:t xml:space="preserve">Research Councils UK (2015), </w:t>
      </w:r>
      <w:r w:rsidRPr="00993543">
        <w:rPr>
          <w:i/>
        </w:rPr>
        <w:t>RCUK Common Principles on Data Policy</w:t>
      </w:r>
      <w:r>
        <w:t xml:space="preserve">. Available online at </w:t>
      </w:r>
      <w:hyperlink r:id="rId18" w:history="1">
        <w:r w:rsidRPr="00721295">
          <w:rPr>
            <w:rStyle w:val="Hyperlink"/>
          </w:rPr>
          <w:t>http://www.rcuk.ac.uk/research/datapolicy/</w:t>
        </w:r>
      </w:hyperlink>
      <w:r>
        <w:rPr>
          <w:rStyle w:val="Hyperlink"/>
        </w:rPr>
        <w:t xml:space="preserve"> </w:t>
      </w:r>
      <w:r>
        <w:t>Viewed 15 October 2015</w:t>
      </w:r>
    </w:p>
    <w:p w14:paraId="0479EB38" w14:textId="77777777" w:rsidR="008A12D3" w:rsidRDefault="008A12D3" w:rsidP="008A12D3">
      <w:pPr>
        <w:spacing w:after="0" w:line="240" w:lineRule="auto"/>
      </w:pPr>
    </w:p>
    <w:p w14:paraId="544178D7" w14:textId="77777777" w:rsidR="008A12D3" w:rsidRDefault="008A12D3" w:rsidP="008A12D3">
      <w:pPr>
        <w:spacing w:after="0" w:line="240" w:lineRule="auto"/>
      </w:pPr>
      <w:proofErr w:type="spellStart"/>
      <w:r>
        <w:t>Splawa-Neyman</w:t>
      </w:r>
      <w:proofErr w:type="spellEnd"/>
      <w:r>
        <w:t xml:space="preserve">, P, Dickson, N, </w:t>
      </w:r>
      <w:proofErr w:type="spellStart"/>
      <w:r>
        <w:t>Kannan</w:t>
      </w:r>
      <w:proofErr w:type="spellEnd"/>
      <w:r>
        <w:t xml:space="preserve">, A (2015), Poster Presentation “Imaging Locus”, </w:t>
      </w:r>
      <w:r w:rsidRPr="0045524D">
        <w:rPr>
          <w:i/>
        </w:rPr>
        <w:t>ANDS Open Data Showcase</w:t>
      </w:r>
      <w:r>
        <w:t>, 19 June 2015, Canberra</w:t>
      </w:r>
    </w:p>
    <w:p w14:paraId="6EC5C477" w14:textId="77777777" w:rsidR="008A12D3" w:rsidRDefault="008A12D3" w:rsidP="008A12D3">
      <w:pPr>
        <w:spacing w:after="0" w:line="240" w:lineRule="auto"/>
      </w:pPr>
    </w:p>
    <w:p w14:paraId="340F0CCE" w14:textId="77777777" w:rsidR="008A12D3" w:rsidRDefault="008A12D3" w:rsidP="008A12D3">
      <w:pPr>
        <w:spacing w:after="0" w:line="240" w:lineRule="auto"/>
      </w:pPr>
      <w:r>
        <w:t xml:space="preserve">The Royal Society 2012, </w:t>
      </w:r>
      <w:r w:rsidRPr="00603A45">
        <w:rPr>
          <w:i/>
        </w:rPr>
        <w:t>Science as an Open Enterprise</w:t>
      </w:r>
      <w:r>
        <w:t xml:space="preserve">, </w:t>
      </w:r>
      <w:proofErr w:type="gramStart"/>
      <w:r>
        <w:t>The</w:t>
      </w:r>
      <w:proofErr w:type="gramEnd"/>
      <w:r>
        <w:t xml:space="preserve"> Royal Society Science Policy Centre, London. Available online at </w:t>
      </w:r>
      <w:hyperlink r:id="rId19" w:history="1">
        <w:r w:rsidRPr="00721295">
          <w:rPr>
            <w:rStyle w:val="Hyperlink"/>
          </w:rPr>
          <w:t>https://royalsociety.org/topics-policy/projects/science-public-enterprise/report/</w:t>
        </w:r>
      </w:hyperlink>
      <w:r>
        <w:t xml:space="preserve"> </w:t>
      </w:r>
    </w:p>
    <w:p w14:paraId="406B132D" w14:textId="77777777" w:rsidR="008A12D3" w:rsidRDefault="008A12D3" w:rsidP="008A12D3">
      <w:pPr>
        <w:spacing w:after="0" w:line="240" w:lineRule="auto"/>
      </w:pPr>
    </w:p>
    <w:p w14:paraId="66CB851B" w14:textId="77777777" w:rsidR="008A12D3" w:rsidRDefault="008A12D3" w:rsidP="008A12D3">
      <w:pPr>
        <w:spacing w:after="0" w:line="240" w:lineRule="auto"/>
        <w:rPr>
          <w:rStyle w:val="Hyperlink"/>
        </w:rPr>
      </w:pPr>
      <w:r>
        <w:rPr>
          <w:rStyle w:val="Hyperlink"/>
        </w:rPr>
        <w:t xml:space="preserve">The Royal Society 2014, UK Open Research Data Forum Report. Available online at </w:t>
      </w:r>
      <w:hyperlink r:id="rId20" w:history="1">
        <w:r w:rsidRPr="00721295">
          <w:rPr>
            <w:rStyle w:val="Hyperlink"/>
          </w:rPr>
          <w:t>http://www.researchinfonet.org/wp-content/uploads/2014/07/Jan-2014-Forum-Report.pdf</w:t>
        </w:r>
      </w:hyperlink>
      <w:r>
        <w:rPr>
          <w:rStyle w:val="Hyperlink"/>
        </w:rPr>
        <w:t xml:space="preserve"> </w:t>
      </w:r>
    </w:p>
    <w:p w14:paraId="28BE3BE5" w14:textId="77777777" w:rsidR="008A12D3" w:rsidRDefault="008A12D3" w:rsidP="008A12D3">
      <w:pPr>
        <w:spacing w:after="0" w:line="240" w:lineRule="auto"/>
      </w:pPr>
    </w:p>
    <w:p w14:paraId="250C86ED" w14:textId="77777777" w:rsidR="008A12D3" w:rsidRDefault="008A12D3" w:rsidP="008A12D3">
      <w:pPr>
        <w:spacing w:after="0" w:line="240" w:lineRule="auto"/>
      </w:pPr>
      <w:r>
        <w:t xml:space="preserve">UK Foreign &amp; Commonwealth Office (2013), </w:t>
      </w:r>
      <w:r w:rsidRPr="00B74D91">
        <w:rPr>
          <w:i/>
        </w:rPr>
        <w:t>G8 Science Ministers Statement</w:t>
      </w:r>
      <w:r>
        <w:t xml:space="preserve">. Available online at </w:t>
      </w:r>
      <w:hyperlink r:id="rId21" w:history="1">
        <w:r w:rsidRPr="00721295">
          <w:rPr>
            <w:rStyle w:val="Hyperlink"/>
          </w:rPr>
          <w:t xml:space="preserve">https://www.gov.uk/government/news/g8-science-ministers-statement </w:t>
        </w:r>
      </w:hyperlink>
    </w:p>
    <w:p w14:paraId="6CA0F78E" w14:textId="77777777" w:rsidR="008A12D3" w:rsidRDefault="008A12D3" w:rsidP="008A12D3">
      <w:pPr>
        <w:spacing w:after="0" w:line="240" w:lineRule="auto"/>
      </w:pPr>
    </w:p>
    <w:p w14:paraId="7645EB08" w14:textId="77777777" w:rsidR="008A12D3" w:rsidRDefault="008A12D3" w:rsidP="008A12D3">
      <w:pPr>
        <w:spacing w:after="0" w:line="240" w:lineRule="auto"/>
      </w:pPr>
      <w:r>
        <w:t xml:space="preserve">US Committee on Coherence at Scale and UK Open Research Data Forum (2014), </w:t>
      </w:r>
      <w:r w:rsidRPr="00BE19F7">
        <w:rPr>
          <w:i/>
        </w:rPr>
        <w:t>Statement on the Principles of Open Data</w:t>
      </w:r>
      <w:r>
        <w:t xml:space="preserve">. Available online at </w:t>
      </w:r>
      <w:hyperlink r:id="rId22" w:history="1">
        <w:r w:rsidRPr="00721295">
          <w:rPr>
            <w:rStyle w:val="Hyperlink"/>
          </w:rPr>
          <w:t>http://www.researchinfonet.org/wp-content/uploads/2014/07/Joint-statement-of-principles-June-2014.pdf</w:t>
        </w:r>
      </w:hyperlink>
      <w:r>
        <w:t xml:space="preserve">. </w:t>
      </w:r>
    </w:p>
    <w:p w14:paraId="73569A33" w14:textId="77777777" w:rsidR="008A12D3" w:rsidRDefault="008A12D3" w:rsidP="008A12D3">
      <w:pPr>
        <w:spacing w:after="0" w:line="240" w:lineRule="auto"/>
      </w:pPr>
    </w:p>
    <w:p w14:paraId="5C667FF3" w14:textId="77777777" w:rsidR="008A12D3" w:rsidRDefault="008A12D3" w:rsidP="008A12D3">
      <w:pPr>
        <w:spacing w:after="0" w:line="240" w:lineRule="auto"/>
      </w:pPr>
      <w:r>
        <w:t>The White House 2015, Fact Sheet: Empowering Students and Others though Citizen Science and Crowdsourcing, Office of Science and Technology Policy, Washington, 23 March 2015</w:t>
      </w:r>
    </w:p>
    <w:p w14:paraId="63477CFE" w14:textId="77777777" w:rsidR="008A12D3" w:rsidRDefault="008A12D3" w:rsidP="008A12D3">
      <w:pPr>
        <w:spacing w:after="0" w:line="240" w:lineRule="auto"/>
        <w:rPr>
          <w:rStyle w:val="Hyperlink"/>
        </w:rPr>
      </w:pPr>
    </w:p>
    <w:p w14:paraId="489315CF" w14:textId="77777777" w:rsidR="008A12D3" w:rsidRDefault="001C7E59" w:rsidP="008A12D3">
      <w:pPr>
        <w:spacing w:after="0" w:line="240" w:lineRule="auto"/>
        <w:rPr>
          <w:rStyle w:val="citation"/>
        </w:rPr>
      </w:pPr>
      <w:hyperlink r:id="rId23" w:history="1">
        <w:r w:rsidR="008A12D3" w:rsidRPr="00DB19FE">
          <w:rPr>
            <w:rStyle w:val="personname"/>
          </w:rPr>
          <w:t>Young, Carolyn D.</w:t>
        </w:r>
      </w:hyperlink>
      <w:r w:rsidR="008A12D3" w:rsidRPr="00DB19FE">
        <w:rPr>
          <w:rStyle w:val="citation"/>
        </w:rPr>
        <w:t xml:space="preserve"> &amp; </w:t>
      </w:r>
      <w:hyperlink r:id="rId24" w:history="1">
        <w:r w:rsidR="008A12D3" w:rsidRPr="00DB19FE">
          <w:rPr>
            <w:rStyle w:val="personname"/>
          </w:rPr>
          <w:t>Young, Joseph A.</w:t>
        </w:r>
      </w:hyperlink>
      <w:r w:rsidR="008A12D3">
        <w:rPr>
          <w:rStyle w:val="citation"/>
        </w:rPr>
        <w:t xml:space="preserve"> (2009) A University Support Model for </w:t>
      </w:r>
      <w:proofErr w:type="spellStart"/>
      <w:r w:rsidR="008A12D3">
        <w:rPr>
          <w:rStyle w:val="citation"/>
        </w:rPr>
        <w:t>eResearch</w:t>
      </w:r>
      <w:proofErr w:type="spellEnd"/>
      <w:r w:rsidR="008A12D3">
        <w:rPr>
          <w:rStyle w:val="citation"/>
        </w:rPr>
        <w:t xml:space="preserve">. In </w:t>
      </w:r>
      <w:proofErr w:type="spellStart"/>
      <w:r w:rsidR="008A12D3">
        <w:rPr>
          <w:rStyle w:val="Emphasis"/>
        </w:rPr>
        <w:t>eResearch</w:t>
      </w:r>
      <w:proofErr w:type="spellEnd"/>
      <w:r w:rsidR="008A12D3">
        <w:rPr>
          <w:rStyle w:val="Emphasis"/>
        </w:rPr>
        <w:t xml:space="preserve"> Australasia 2008</w:t>
      </w:r>
      <w:r w:rsidR="008A12D3">
        <w:rPr>
          <w:rStyle w:val="citation"/>
        </w:rPr>
        <w:t>, 28 Sept - 3 Oct 2008, Melbourne. (Unpublished)</w:t>
      </w:r>
    </w:p>
    <w:p w14:paraId="4DB87180" w14:textId="77777777" w:rsidR="008A12D3" w:rsidRDefault="008A12D3" w:rsidP="008A12D3">
      <w:pPr>
        <w:spacing w:after="0" w:line="240" w:lineRule="auto"/>
        <w:rPr>
          <w:rStyle w:val="citation"/>
        </w:rPr>
      </w:pPr>
      <w:r>
        <w:rPr>
          <w:rStyle w:val="citation"/>
        </w:rPr>
        <w:t xml:space="preserve">Available online at </w:t>
      </w:r>
      <w:hyperlink r:id="rId25" w:history="1">
        <w:r w:rsidRPr="00721295">
          <w:rPr>
            <w:rStyle w:val="Hyperlink"/>
          </w:rPr>
          <w:t>http://eprints.qut.edu.au/28308/</w:t>
        </w:r>
      </w:hyperlink>
      <w:r>
        <w:rPr>
          <w:rStyle w:val="citation"/>
        </w:rPr>
        <w:t xml:space="preserve"> </w:t>
      </w:r>
    </w:p>
    <w:p w14:paraId="37E72A65" w14:textId="77777777" w:rsidR="008A12D3" w:rsidRDefault="008A12D3" w:rsidP="008A12D3">
      <w:pPr>
        <w:spacing w:after="0" w:line="240" w:lineRule="auto"/>
        <w:rPr>
          <w:rStyle w:val="citation"/>
        </w:rPr>
      </w:pPr>
    </w:p>
    <w:p w14:paraId="3A5237F0" w14:textId="77777777" w:rsidR="008A12D3" w:rsidRDefault="008A12D3" w:rsidP="008A12D3">
      <w:pPr>
        <w:spacing w:after="0" w:line="240" w:lineRule="auto"/>
        <w:rPr>
          <w:b/>
        </w:rPr>
      </w:pPr>
    </w:p>
    <w:p w14:paraId="7F38C475" w14:textId="77777777" w:rsidR="008A12D3" w:rsidRDefault="008A12D3" w:rsidP="008A12D3">
      <w:pPr>
        <w:spacing w:after="0" w:line="240" w:lineRule="auto"/>
        <w:rPr>
          <w:b/>
        </w:rPr>
      </w:pPr>
      <w:proofErr w:type="spellStart"/>
      <w:r w:rsidRPr="00516F10">
        <w:rPr>
          <w:b/>
        </w:rPr>
        <w:t>Webography</w:t>
      </w:r>
      <w:proofErr w:type="spellEnd"/>
    </w:p>
    <w:p w14:paraId="3FD5A747" w14:textId="77777777" w:rsidR="008A12D3" w:rsidRPr="00516F10" w:rsidRDefault="008A12D3" w:rsidP="008A12D3">
      <w:pPr>
        <w:spacing w:after="0" w:line="240" w:lineRule="auto"/>
        <w:rPr>
          <w:b/>
        </w:rPr>
      </w:pPr>
    </w:p>
    <w:p w14:paraId="01757C03" w14:textId="77777777" w:rsidR="00AF63A9" w:rsidRDefault="00AF63A9" w:rsidP="00AF63A9">
      <w:pPr>
        <w:spacing w:after="0" w:line="240" w:lineRule="auto"/>
        <w:rPr>
          <w:rStyle w:val="tx"/>
        </w:rPr>
      </w:pPr>
      <w:r>
        <w:rPr>
          <w:rStyle w:val="tx"/>
        </w:rPr>
        <w:t xml:space="preserve">Citizen Science Alliance, viewed 1 October 2015, </w:t>
      </w:r>
      <w:hyperlink r:id="rId26" w:history="1">
        <w:r w:rsidRPr="00721295">
          <w:rPr>
            <w:rStyle w:val="Hyperlink"/>
          </w:rPr>
          <w:t>http://www.citizensciencealliance.org/philosophy.html</w:t>
        </w:r>
      </w:hyperlink>
      <w:r>
        <w:rPr>
          <w:rStyle w:val="tx"/>
        </w:rPr>
        <w:t xml:space="preserve"> </w:t>
      </w:r>
    </w:p>
    <w:p w14:paraId="6B0A33E3" w14:textId="77777777" w:rsidR="00AF63A9" w:rsidRDefault="00AF63A9" w:rsidP="008A12D3">
      <w:pPr>
        <w:spacing w:after="0" w:line="240" w:lineRule="auto"/>
      </w:pPr>
    </w:p>
    <w:p w14:paraId="027F227E" w14:textId="77777777" w:rsidR="008A12D3" w:rsidRDefault="008A12D3" w:rsidP="008A12D3">
      <w:pPr>
        <w:spacing w:after="0" w:line="240" w:lineRule="auto"/>
      </w:pPr>
      <w:r>
        <w:t>Cornell Lab of Ornithology</w:t>
      </w:r>
    </w:p>
    <w:p w14:paraId="625AEB20" w14:textId="77777777" w:rsidR="008A12D3" w:rsidRDefault="001C7E59" w:rsidP="008A12D3">
      <w:pPr>
        <w:spacing w:after="0" w:line="240" w:lineRule="auto"/>
      </w:pPr>
      <w:hyperlink r:id="rId27" w:history="1">
        <w:r w:rsidR="008A12D3" w:rsidRPr="00721295">
          <w:rPr>
            <w:rStyle w:val="Hyperlink"/>
          </w:rPr>
          <w:t>http://www.birds.cornell.edu/citscitoolkit/about/defining-citizen-science/</w:t>
        </w:r>
      </w:hyperlink>
      <w:r w:rsidR="008A12D3">
        <w:t xml:space="preserve"> </w:t>
      </w:r>
    </w:p>
    <w:p w14:paraId="54FB2309" w14:textId="77777777" w:rsidR="008A12D3" w:rsidRDefault="008A12D3" w:rsidP="008A12D3">
      <w:pPr>
        <w:spacing w:after="0" w:line="240" w:lineRule="auto"/>
      </w:pPr>
    </w:p>
    <w:p w14:paraId="5CB71916" w14:textId="77777777" w:rsidR="008A12D3" w:rsidRDefault="008A12D3" w:rsidP="008A12D3">
      <w:pPr>
        <w:spacing w:after="0" w:line="240" w:lineRule="auto"/>
      </w:pPr>
      <w:r>
        <w:t xml:space="preserve">EGI-Engage, viewed 1 October 2015, </w:t>
      </w:r>
      <w:hyperlink r:id="rId28" w:history="1">
        <w:r w:rsidRPr="00721295">
          <w:rPr>
            <w:rStyle w:val="Hyperlink"/>
          </w:rPr>
          <w:t>http://www.egi.eu/about/egi-engage/index.html</w:t>
        </w:r>
      </w:hyperlink>
      <w:r>
        <w:t xml:space="preserve"> </w:t>
      </w:r>
    </w:p>
    <w:p w14:paraId="774A41A6" w14:textId="77777777" w:rsidR="008A12D3" w:rsidRDefault="008A12D3" w:rsidP="008A12D3">
      <w:pPr>
        <w:spacing w:after="0" w:line="240" w:lineRule="auto"/>
      </w:pPr>
    </w:p>
    <w:p w14:paraId="76C56347" w14:textId="77777777" w:rsidR="008A12D3" w:rsidRDefault="008A12D3" w:rsidP="008A12D3">
      <w:pPr>
        <w:spacing w:after="0" w:line="240" w:lineRule="auto"/>
      </w:pPr>
      <w:r>
        <w:t xml:space="preserve">Internet2 US-China Collaboration Initiative, viewed 1 October 2015, </w:t>
      </w:r>
      <w:hyperlink r:id="rId29" w:history="1">
        <w:r w:rsidRPr="00721295">
          <w:rPr>
            <w:rStyle w:val="Hyperlink"/>
          </w:rPr>
          <w:t>https://china.internet2.edu/about/</w:t>
        </w:r>
      </w:hyperlink>
      <w:r>
        <w:t xml:space="preserve"> </w:t>
      </w:r>
    </w:p>
    <w:p w14:paraId="0D7EA33E" w14:textId="77777777" w:rsidR="008A12D3" w:rsidRDefault="008A12D3" w:rsidP="008A12D3">
      <w:pPr>
        <w:spacing w:after="0" w:line="240" w:lineRule="auto"/>
      </w:pPr>
    </w:p>
    <w:p w14:paraId="38D64CAD" w14:textId="77777777" w:rsidR="008A12D3" w:rsidRDefault="008A12D3" w:rsidP="008A12D3">
      <w:pPr>
        <w:spacing w:after="0" w:line="240" w:lineRule="auto"/>
        <w:rPr>
          <w:rStyle w:val="tx"/>
        </w:rPr>
      </w:pPr>
    </w:p>
    <w:p w14:paraId="10484E29" w14:textId="77777777" w:rsidR="008A12D3" w:rsidRDefault="008A12D3" w:rsidP="008A12D3">
      <w:pPr>
        <w:spacing w:after="0" w:line="240" w:lineRule="auto"/>
      </w:pPr>
      <w:r>
        <w:t>Ocean Networks Canada</w:t>
      </w:r>
    </w:p>
    <w:p w14:paraId="40EB2F0B" w14:textId="77777777" w:rsidR="008A12D3" w:rsidRDefault="001C7E59" w:rsidP="008A12D3">
      <w:pPr>
        <w:spacing w:after="0" w:line="240" w:lineRule="auto"/>
      </w:pPr>
      <w:hyperlink r:id="rId30" w:history="1">
        <w:r w:rsidR="008A12D3" w:rsidRPr="00721295">
          <w:rPr>
            <w:rStyle w:val="Hyperlink"/>
          </w:rPr>
          <w:t>http://www.oceannetworks.ca/</w:t>
        </w:r>
      </w:hyperlink>
      <w:r w:rsidR="008A12D3">
        <w:t xml:space="preserve"> </w:t>
      </w:r>
    </w:p>
    <w:p w14:paraId="1978A306" w14:textId="77777777" w:rsidR="008A12D3" w:rsidRDefault="008A12D3" w:rsidP="008A12D3">
      <w:pPr>
        <w:spacing w:after="0" w:line="240" w:lineRule="auto"/>
      </w:pPr>
    </w:p>
    <w:p w14:paraId="4412D17B" w14:textId="77777777" w:rsidR="008A12D3" w:rsidRDefault="008A12D3" w:rsidP="008A12D3">
      <w:pPr>
        <w:spacing w:after="0" w:line="240" w:lineRule="auto"/>
        <w:rPr>
          <w:rStyle w:val="Hyperlink"/>
        </w:rPr>
      </w:pPr>
      <w:r w:rsidRPr="0033024C">
        <w:t>Open Science and Innovation: Of the People, By the P</w:t>
      </w:r>
      <w:r>
        <w:t xml:space="preserve">eople, For the People, viewed 1 October 2015 </w:t>
      </w:r>
      <w:hyperlink r:id="rId31" w:history="1">
        <w:r w:rsidRPr="0033024C">
          <w:rPr>
            <w:rStyle w:val="Hyperlink"/>
          </w:rPr>
          <w:t>https://www.whitehouse.gov/blog/2015/09/09/open-science-and-innovation-people-people-people</w:t>
        </w:r>
      </w:hyperlink>
    </w:p>
    <w:p w14:paraId="475AC1BB" w14:textId="77777777" w:rsidR="00AF63A9" w:rsidRDefault="00AF63A9" w:rsidP="00AF63A9">
      <w:pPr>
        <w:spacing w:after="0" w:line="240" w:lineRule="auto"/>
      </w:pPr>
    </w:p>
    <w:p w14:paraId="69BBC9F2" w14:textId="77777777" w:rsidR="00AF63A9" w:rsidRDefault="00AF63A9" w:rsidP="00AF63A9">
      <w:pPr>
        <w:spacing w:after="0" w:line="240" w:lineRule="auto"/>
      </w:pPr>
      <w:r>
        <w:t xml:space="preserve">Open Science Grid, viewed 1 October 2015, </w:t>
      </w:r>
      <w:hyperlink r:id="rId32" w:history="1">
        <w:r w:rsidRPr="00721295">
          <w:rPr>
            <w:rStyle w:val="Hyperlink"/>
          </w:rPr>
          <w:t>http://www.opensciencegrid.org/</w:t>
        </w:r>
      </w:hyperlink>
    </w:p>
    <w:p w14:paraId="314CC8B0" w14:textId="77777777" w:rsidR="00AF63A9" w:rsidRDefault="00AF63A9" w:rsidP="008A12D3">
      <w:pPr>
        <w:spacing w:after="0" w:line="240" w:lineRule="auto"/>
        <w:rPr>
          <w:rStyle w:val="Hyperlink"/>
        </w:rPr>
      </w:pPr>
    </w:p>
    <w:p w14:paraId="7FC6F2D7" w14:textId="77777777" w:rsidR="00AF63A9" w:rsidRDefault="00AF63A9" w:rsidP="00AF63A9">
      <w:pPr>
        <w:spacing w:after="0" w:line="240" w:lineRule="auto"/>
        <w:rPr>
          <w:rStyle w:val="tx"/>
        </w:rPr>
      </w:pPr>
      <w:r>
        <w:rPr>
          <w:rStyle w:val="tx"/>
        </w:rPr>
        <w:lastRenderedPageBreak/>
        <w:t xml:space="preserve">Rufus Pollock (the online home of Rufus Pollock), viewed 1 October 2015, </w:t>
      </w:r>
      <w:hyperlink r:id="rId33" w:history="1">
        <w:r w:rsidRPr="00721295">
          <w:rPr>
            <w:rStyle w:val="Hyperlink"/>
          </w:rPr>
          <w:t>http://rufuspollock.org/misc/</w:t>
        </w:r>
      </w:hyperlink>
      <w:r>
        <w:rPr>
          <w:rStyle w:val="tx"/>
        </w:rPr>
        <w:t xml:space="preserve"> </w:t>
      </w:r>
    </w:p>
    <w:p w14:paraId="4899C941" w14:textId="77777777" w:rsidR="008D7612" w:rsidRDefault="008D7612" w:rsidP="008D7612"/>
    <w:p w14:paraId="5AB60E8C" w14:textId="14BF4850" w:rsidR="007247B8" w:rsidRPr="0028151E" w:rsidRDefault="0028151E" w:rsidP="007247B8">
      <w:pPr>
        <w:rPr>
          <w:b/>
        </w:rPr>
        <w:sectPr w:rsidR="007247B8" w:rsidRPr="0028151E" w:rsidSect="00D25B8C">
          <w:footerReference w:type="default" r:id="rId34"/>
          <w:pgSz w:w="11906" w:h="16838"/>
          <w:pgMar w:top="1440" w:right="1440" w:bottom="1440" w:left="1440" w:header="708" w:footer="708" w:gutter="0"/>
          <w:cols w:space="708"/>
          <w:docGrid w:linePitch="360"/>
        </w:sectPr>
      </w:pPr>
      <w:r>
        <w:rPr>
          <w:b/>
        </w:rPr>
        <w:br w:type="page"/>
      </w:r>
    </w:p>
    <w:p w14:paraId="06038716" w14:textId="656D719A" w:rsidR="00826214" w:rsidRPr="008A12D3" w:rsidRDefault="001F7AAA" w:rsidP="007247B8">
      <w:pPr>
        <w:rPr>
          <w:b/>
          <w:sz w:val="28"/>
          <w:szCs w:val="28"/>
        </w:rPr>
      </w:pPr>
      <w:r w:rsidRPr="008A12D3">
        <w:rPr>
          <w:b/>
          <w:sz w:val="28"/>
          <w:szCs w:val="28"/>
        </w:rPr>
        <w:lastRenderedPageBreak/>
        <w:t>APPENDIX</w:t>
      </w:r>
      <w:r w:rsidR="00D827E3" w:rsidRPr="008A12D3">
        <w:rPr>
          <w:b/>
          <w:sz w:val="28"/>
          <w:szCs w:val="28"/>
        </w:rPr>
        <w:t xml:space="preserve"> 1</w:t>
      </w:r>
      <w:r w:rsidR="00826214" w:rsidRPr="008A12D3">
        <w:rPr>
          <w:b/>
          <w:sz w:val="28"/>
          <w:szCs w:val="28"/>
        </w:rPr>
        <w:t xml:space="preserve">: </w:t>
      </w:r>
      <w:r w:rsidRPr="008A12D3">
        <w:rPr>
          <w:b/>
          <w:sz w:val="28"/>
          <w:szCs w:val="28"/>
        </w:rPr>
        <w:t>OVERVIEW OF SOME OF AUSTRALIA’S E-RESEARCH SERVICES</w:t>
      </w:r>
    </w:p>
    <w:p w14:paraId="506209DE" w14:textId="77777777" w:rsidR="00826214" w:rsidRPr="008D643A" w:rsidRDefault="00826214" w:rsidP="00826214">
      <w:pPr>
        <w:spacing w:after="0" w:line="240" w:lineRule="auto"/>
        <w:rPr>
          <w:rFonts w:eastAsia="Times New Roman" w:cs="Times New Roman"/>
          <w:b/>
          <w:lang w:eastAsia="en-AU"/>
        </w:rPr>
      </w:pPr>
    </w:p>
    <w:tbl>
      <w:tblPr>
        <w:tblStyle w:val="TableGrid"/>
        <w:tblW w:w="0" w:type="auto"/>
        <w:tblLook w:val="04A0" w:firstRow="1" w:lastRow="0" w:firstColumn="1" w:lastColumn="0" w:noHBand="0" w:noVBand="1"/>
      </w:tblPr>
      <w:tblGrid>
        <w:gridCol w:w="3397"/>
        <w:gridCol w:w="10551"/>
      </w:tblGrid>
      <w:tr w:rsidR="00575984" w:rsidRPr="008D643A" w14:paraId="2A6EB602" w14:textId="77777777" w:rsidTr="004E2CCC">
        <w:tc>
          <w:tcPr>
            <w:tcW w:w="3397" w:type="dxa"/>
            <w:vMerge w:val="restart"/>
          </w:tcPr>
          <w:p w14:paraId="5C21704C" w14:textId="77777777" w:rsidR="00575984" w:rsidRPr="008D643A" w:rsidRDefault="00575984" w:rsidP="00C967AA">
            <w:pPr>
              <w:rPr>
                <w:rFonts w:eastAsia="Times New Roman" w:cs="Arial"/>
                <w:b/>
                <w:lang w:eastAsia="en-AU"/>
              </w:rPr>
            </w:pPr>
            <w:r w:rsidRPr="008D643A">
              <w:rPr>
                <w:rFonts w:eastAsia="Times New Roman" w:cs="Arial"/>
                <w:b/>
                <w:lang w:eastAsia="en-AU"/>
              </w:rPr>
              <w:t>National Collaborative Research Infrastructure Strategy</w:t>
            </w:r>
            <w:r>
              <w:rPr>
                <w:rFonts w:eastAsia="Times New Roman" w:cs="Arial"/>
                <w:b/>
                <w:lang w:eastAsia="en-AU"/>
              </w:rPr>
              <w:t xml:space="preserve"> (NCRIS)</w:t>
            </w:r>
          </w:p>
        </w:tc>
        <w:tc>
          <w:tcPr>
            <w:tcW w:w="10551" w:type="dxa"/>
          </w:tcPr>
          <w:p w14:paraId="09DE0DF9" w14:textId="77777777" w:rsidR="00575984" w:rsidRPr="008D643A" w:rsidRDefault="00575984" w:rsidP="00C967AA">
            <w:pPr>
              <w:rPr>
                <w:rFonts w:eastAsia="Times New Roman" w:cs="Arial"/>
                <w:b/>
                <w:lang w:eastAsia="en-AU"/>
              </w:rPr>
            </w:pPr>
            <w:r w:rsidRPr="008D643A">
              <w:rPr>
                <w:rFonts w:eastAsia="Times New Roman" w:cs="Arial"/>
                <w:b/>
                <w:lang w:eastAsia="en-AU"/>
              </w:rPr>
              <w:t>Description</w:t>
            </w:r>
          </w:p>
          <w:p w14:paraId="26CAAE53" w14:textId="77777777" w:rsidR="00575984" w:rsidRDefault="00575984" w:rsidP="00C967AA">
            <w:pPr>
              <w:rPr>
                <w:rFonts w:eastAsia="Times New Roman" w:cs="Arial"/>
                <w:lang w:eastAsia="en-AU"/>
              </w:rPr>
            </w:pPr>
            <w:r>
              <w:rPr>
                <w:rFonts w:eastAsia="Times New Roman" w:cs="Arial"/>
                <w:lang w:eastAsia="en-AU"/>
              </w:rPr>
              <w:t xml:space="preserve"> </w:t>
            </w:r>
          </w:p>
          <w:p w14:paraId="488E67B7" w14:textId="77777777" w:rsidR="00575984" w:rsidRDefault="00575984" w:rsidP="00C967AA">
            <w:pPr>
              <w:rPr>
                <w:rFonts w:eastAsia="Times New Roman" w:cs="Arial"/>
                <w:lang w:eastAsia="en-AU"/>
              </w:rPr>
            </w:pPr>
            <w:r>
              <w:rPr>
                <w:rFonts w:eastAsia="Times New Roman" w:cs="Arial"/>
                <w:lang w:eastAsia="en-AU"/>
              </w:rPr>
              <w:t>The S</w:t>
            </w:r>
            <w:r w:rsidRPr="008D643A">
              <w:rPr>
                <w:rFonts w:eastAsia="Times New Roman" w:cs="Arial"/>
                <w:lang w:eastAsia="en-AU"/>
              </w:rPr>
              <w:t xml:space="preserve">trategy supports partnerships between the research sector, business, industry and government. Examples of NCRIS funded projects include ANDS and </w:t>
            </w:r>
            <w:proofErr w:type="spellStart"/>
            <w:r w:rsidRPr="008D643A">
              <w:rPr>
                <w:rFonts w:eastAsia="Times New Roman" w:cs="Arial"/>
                <w:lang w:eastAsia="en-AU"/>
              </w:rPr>
              <w:t>NeCTAR</w:t>
            </w:r>
            <w:proofErr w:type="spellEnd"/>
            <w:r w:rsidRPr="008D643A">
              <w:rPr>
                <w:rFonts w:eastAsia="Times New Roman" w:cs="Arial"/>
                <w:lang w:eastAsia="en-AU"/>
              </w:rPr>
              <w:t xml:space="preserve"> (described in this table) as well as the </w:t>
            </w:r>
            <w:proofErr w:type="spellStart"/>
            <w:r w:rsidRPr="008D643A">
              <w:rPr>
                <w:rFonts w:eastAsia="Times New Roman" w:cs="Arial"/>
                <w:lang w:eastAsia="en-AU"/>
              </w:rPr>
              <w:t>Pawsey</w:t>
            </w:r>
            <w:proofErr w:type="spellEnd"/>
            <w:r w:rsidRPr="008D643A">
              <w:rPr>
                <w:rFonts w:eastAsia="Times New Roman" w:cs="Arial"/>
                <w:lang w:eastAsia="en-AU"/>
              </w:rPr>
              <w:t xml:space="preserve"> Supercomputing Centre and the Australian Urban Research Infrastructure Network (</w:t>
            </w:r>
            <w:proofErr w:type="spellStart"/>
            <w:r w:rsidRPr="008D643A">
              <w:rPr>
                <w:rFonts w:eastAsia="Times New Roman" w:cs="Arial"/>
                <w:lang w:eastAsia="en-AU"/>
              </w:rPr>
              <w:t>AuRIN</w:t>
            </w:r>
            <w:proofErr w:type="spellEnd"/>
            <w:r w:rsidRPr="008D643A">
              <w:rPr>
                <w:rFonts w:eastAsia="Times New Roman" w:cs="Arial"/>
                <w:lang w:eastAsia="en-AU"/>
              </w:rPr>
              <w:t>).</w:t>
            </w:r>
            <w:r>
              <w:rPr>
                <w:rFonts w:eastAsia="Times New Roman" w:cs="Arial"/>
                <w:lang w:eastAsia="en-AU"/>
              </w:rPr>
              <w:t xml:space="preserve"> A list of all currently funded NCRIS projects can be found below. </w:t>
            </w:r>
          </w:p>
          <w:p w14:paraId="1A2DAED9" w14:textId="77777777" w:rsidR="00575984" w:rsidRDefault="00575984" w:rsidP="00C967AA">
            <w:pPr>
              <w:rPr>
                <w:rFonts w:eastAsia="Times New Roman" w:cs="Arial"/>
                <w:lang w:eastAsia="en-AU"/>
              </w:rPr>
            </w:pPr>
          </w:p>
          <w:p w14:paraId="65998CBA" w14:textId="77777777" w:rsidR="00575984" w:rsidRDefault="00575984" w:rsidP="00C967AA">
            <w:pPr>
              <w:rPr>
                <w:rFonts w:eastAsia="Times New Roman" w:cs="Arial"/>
                <w:lang w:eastAsia="en-AU"/>
              </w:rPr>
            </w:pPr>
            <w:r w:rsidRPr="00725583">
              <w:rPr>
                <w:rFonts w:eastAsia="Times New Roman" w:cs="Arial"/>
                <w:lang w:eastAsia="en-AU"/>
              </w:rPr>
              <w:t>NCRIS</w:t>
            </w:r>
            <w:r>
              <w:rPr>
                <w:rFonts w:eastAsia="Times New Roman" w:cs="Arial"/>
                <w:lang w:eastAsia="en-AU"/>
              </w:rPr>
              <w:t xml:space="preserve"> network</w:t>
            </w:r>
            <w:r w:rsidRPr="00725583">
              <w:rPr>
                <w:rFonts w:eastAsia="Times New Roman" w:cs="Arial"/>
                <w:lang w:eastAsia="en-AU"/>
              </w:rPr>
              <w:t xml:space="preserve"> currently </w:t>
            </w:r>
            <w:r>
              <w:rPr>
                <w:rFonts w:eastAsia="Times New Roman" w:cs="Arial"/>
                <w:lang w:eastAsia="en-AU"/>
              </w:rPr>
              <w:t>supports</w:t>
            </w:r>
            <w:r w:rsidRPr="00725583">
              <w:rPr>
                <w:rFonts w:eastAsia="Times New Roman" w:cs="Arial"/>
                <w:lang w:eastAsia="en-AU"/>
              </w:rPr>
              <w:t xml:space="preserve"> 27 projects, </w:t>
            </w:r>
            <w:r>
              <w:rPr>
                <w:rFonts w:eastAsia="Times New Roman" w:cs="Arial"/>
                <w:lang w:eastAsia="en-AU"/>
              </w:rPr>
              <w:t xml:space="preserve">involving 222 institutions and 1700 staff. </w:t>
            </w:r>
            <w:r w:rsidRPr="008D643A">
              <w:rPr>
                <w:rFonts w:eastAsia="Times New Roman" w:cs="Arial"/>
                <w:lang w:eastAsia="en-AU"/>
              </w:rPr>
              <w:t>NCRIS facilities are used by over 35,000 researchers locally and internationally.</w:t>
            </w:r>
          </w:p>
          <w:p w14:paraId="4EB8A9DD" w14:textId="77777777" w:rsidR="00575984" w:rsidRPr="008D643A" w:rsidRDefault="00575984" w:rsidP="00C967AA">
            <w:pPr>
              <w:rPr>
                <w:rFonts w:eastAsia="Times New Roman" w:cs="Arial"/>
                <w:lang w:eastAsia="en-AU"/>
              </w:rPr>
            </w:pPr>
          </w:p>
          <w:p w14:paraId="1D596B83" w14:textId="77777777" w:rsidR="00575984" w:rsidRDefault="00575984" w:rsidP="00C967AA">
            <w:pPr>
              <w:rPr>
                <w:rFonts w:eastAsia="Times New Roman" w:cs="Arial"/>
                <w:lang w:eastAsia="en-AU"/>
              </w:rPr>
            </w:pPr>
            <w:r w:rsidRPr="008D643A">
              <w:rPr>
                <w:rFonts w:eastAsia="Times New Roman" w:cs="Arial"/>
                <w:lang w:eastAsia="en-AU"/>
              </w:rPr>
              <w:t>In 2014-15, based on recommendations from the National Commission of Audit (</w:t>
            </w:r>
            <w:proofErr w:type="spellStart"/>
            <w:r w:rsidRPr="008D643A">
              <w:rPr>
                <w:rFonts w:eastAsia="Times New Roman" w:cs="Arial"/>
                <w:lang w:eastAsia="en-AU"/>
              </w:rPr>
              <w:t>NCoA</w:t>
            </w:r>
            <w:proofErr w:type="spellEnd"/>
            <w:r w:rsidRPr="008D643A">
              <w:rPr>
                <w:rFonts w:eastAsia="Times New Roman" w:cs="Arial"/>
                <w:lang w:eastAsia="en-AU"/>
              </w:rPr>
              <w:t xml:space="preserve">), the government undertook a review of research infrastructure, the results of which have not yet been made public. In the meantime the government has committed $150 million to support existing NCRIS projects remain operational until mid-2016 and allow them to position themselves for the period beyond June 2016. </w:t>
            </w:r>
          </w:p>
          <w:p w14:paraId="0A7E4D78" w14:textId="77777777" w:rsidR="00575984" w:rsidRPr="008D643A" w:rsidRDefault="00575984" w:rsidP="00C967AA">
            <w:pPr>
              <w:rPr>
                <w:rFonts w:eastAsia="Times New Roman" w:cs="Arial"/>
                <w:lang w:eastAsia="en-AU"/>
              </w:rPr>
            </w:pPr>
          </w:p>
        </w:tc>
      </w:tr>
      <w:tr w:rsidR="00575984" w:rsidRPr="008D643A" w14:paraId="63DAA2B1" w14:textId="77777777" w:rsidTr="004E2CCC">
        <w:trPr>
          <w:trHeight w:val="1125"/>
        </w:trPr>
        <w:tc>
          <w:tcPr>
            <w:tcW w:w="3397" w:type="dxa"/>
            <w:vMerge/>
          </w:tcPr>
          <w:p w14:paraId="74493427" w14:textId="77777777" w:rsidR="00575984" w:rsidRPr="008D643A" w:rsidRDefault="00575984" w:rsidP="00C967AA">
            <w:pPr>
              <w:rPr>
                <w:rFonts w:eastAsia="Times New Roman" w:cs="Arial"/>
                <w:b/>
                <w:lang w:eastAsia="en-AU"/>
              </w:rPr>
            </w:pPr>
          </w:p>
        </w:tc>
        <w:tc>
          <w:tcPr>
            <w:tcW w:w="10551" w:type="dxa"/>
          </w:tcPr>
          <w:p w14:paraId="3762BCAC" w14:textId="77777777" w:rsidR="00575984" w:rsidRPr="008D643A" w:rsidRDefault="00575984" w:rsidP="00C967AA">
            <w:pPr>
              <w:rPr>
                <w:rFonts w:eastAsia="Times New Roman" w:cs="Arial"/>
                <w:b/>
                <w:lang w:eastAsia="en-AU"/>
              </w:rPr>
            </w:pPr>
            <w:r w:rsidRPr="008D643A">
              <w:rPr>
                <w:rFonts w:eastAsia="Times New Roman" w:cs="Arial"/>
                <w:b/>
                <w:lang w:eastAsia="en-AU"/>
              </w:rPr>
              <w:t>Funding Sources</w:t>
            </w:r>
          </w:p>
          <w:p w14:paraId="61ECD9BD" w14:textId="77777777" w:rsidR="00575984" w:rsidRDefault="00575984" w:rsidP="00C967AA">
            <w:pPr>
              <w:rPr>
                <w:rFonts w:eastAsia="Times New Roman" w:cs="Arial"/>
                <w:lang w:eastAsia="en-AU"/>
              </w:rPr>
            </w:pPr>
          </w:p>
          <w:p w14:paraId="566A1DE5" w14:textId="77777777" w:rsidR="00575984" w:rsidRPr="008D643A" w:rsidRDefault="00575984" w:rsidP="00C967AA">
            <w:pPr>
              <w:rPr>
                <w:rFonts w:eastAsia="Times New Roman" w:cs="Arial"/>
                <w:lang w:eastAsia="en-AU"/>
              </w:rPr>
            </w:pPr>
            <w:r w:rsidRPr="008D643A">
              <w:rPr>
                <w:rFonts w:eastAsia="Times New Roman" w:cs="Arial"/>
                <w:lang w:eastAsia="en-AU"/>
              </w:rPr>
              <w:t>The Australian Government funds NCRIS. Government funding for NCRIS projects in recent years:</w:t>
            </w:r>
          </w:p>
          <w:p w14:paraId="4009CC28" w14:textId="77777777" w:rsidR="00575984" w:rsidRPr="008D643A" w:rsidRDefault="00575984" w:rsidP="00826214">
            <w:pPr>
              <w:pStyle w:val="ListParagraph"/>
              <w:numPr>
                <w:ilvl w:val="0"/>
                <w:numId w:val="13"/>
              </w:numPr>
              <w:rPr>
                <w:rFonts w:eastAsia="Times New Roman" w:cs="Arial"/>
                <w:lang w:eastAsia="en-AU"/>
              </w:rPr>
            </w:pPr>
            <w:r w:rsidRPr="008D643A">
              <w:rPr>
                <w:rFonts w:eastAsia="Times New Roman" w:cs="Arial"/>
                <w:lang w:eastAsia="en-AU"/>
              </w:rPr>
              <w:t>2013 – 2014: $80 million</w:t>
            </w:r>
          </w:p>
          <w:p w14:paraId="52E9FEEF" w14:textId="77777777" w:rsidR="00575984" w:rsidRPr="008D643A" w:rsidRDefault="00575984" w:rsidP="00826214">
            <w:pPr>
              <w:pStyle w:val="ListParagraph"/>
              <w:numPr>
                <w:ilvl w:val="0"/>
                <w:numId w:val="13"/>
              </w:numPr>
              <w:rPr>
                <w:rFonts w:eastAsia="Times New Roman" w:cs="Arial"/>
                <w:lang w:eastAsia="en-AU"/>
              </w:rPr>
            </w:pPr>
            <w:r w:rsidRPr="008D643A">
              <w:rPr>
                <w:rFonts w:eastAsia="Times New Roman" w:cs="Arial"/>
                <w:lang w:eastAsia="en-AU"/>
              </w:rPr>
              <w:t>2014 – 2015: $100 million</w:t>
            </w:r>
          </w:p>
          <w:p w14:paraId="75E5FFF2" w14:textId="77777777" w:rsidR="00575984" w:rsidRPr="008D643A" w:rsidRDefault="00575984" w:rsidP="00826214">
            <w:pPr>
              <w:pStyle w:val="ListParagraph"/>
              <w:numPr>
                <w:ilvl w:val="0"/>
                <w:numId w:val="13"/>
              </w:numPr>
              <w:rPr>
                <w:rFonts w:eastAsia="Times New Roman" w:cs="Arial"/>
                <w:lang w:eastAsia="en-AU"/>
              </w:rPr>
            </w:pPr>
            <w:r w:rsidRPr="008D643A">
              <w:rPr>
                <w:rFonts w:eastAsia="Times New Roman" w:cs="Arial"/>
                <w:lang w:eastAsia="en-AU"/>
              </w:rPr>
              <w:t>2015 – 2016: $150 million</w:t>
            </w:r>
          </w:p>
          <w:p w14:paraId="1398E10D" w14:textId="77777777" w:rsidR="00575984" w:rsidRDefault="00575984" w:rsidP="00C967AA">
            <w:pPr>
              <w:rPr>
                <w:rFonts w:eastAsia="Times New Roman" w:cs="Arial"/>
                <w:lang w:eastAsia="en-AU"/>
              </w:rPr>
            </w:pPr>
          </w:p>
          <w:p w14:paraId="6AFE6631" w14:textId="77777777" w:rsidR="00575984" w:rsidRPr="008D643A" w:rsidRDefault="00575984" w:rsidP="00C967AA">
            <w:pPr>
              <w:rPr>
                <w:rFonts w:eastAsia="Times New Roman" w:cs="Arial"/>
                <w:lang w:eastAsia="en-AU"/>
              </w:rPr>
            </w:pPr>
            <w:r w:rsidRPr="008D643A">
              <w:rPr>
                <w:rFonts w:eastAsia="Times New Roman" w:cs="Arial"/>
                <w:lang w:eastAsia="en-AU"/>
              </w:rPr>
              <w:t xml:space="preserve">Projects are funded largely by NCRIS and contributions from State Governments, Universities and research organisations. Initial funds can be leveraged to secure funding from other schemes or sources. </w:t>
            </w:r>
          </w:p>
          <w:p w14:paraId="6ECA953E" w14:textId="77777777" w:rsidR="00575984" w:rsidRDefault="00575984" w:rsidP="001F7AAA">
            <w:pPr>
              <w:rPr>
                <w:rFonts w:eastAsia="Times New Roman" w:cs="Arial"/>
                <w:lang w:eastAsia="en-AU"/>
              </w:rPr>
            </w:pPr>
            <w:r w:rsidRPr="008D643A">
              <w:rPr>
                <w:rFonts w:eastAsia="Times New Roman" w:cs="Arial"/>
                <w:lang w:eastAsia="en-AU"/>
              </w:rPr>
              <w:t>The objective of 2015-16 funding is to ensure the facilities currently supported under NCRIS 2013 funding remain operational until mid-2016 and allow them to position themselves for the period beyond June 2016.</w:t>
            </w:r>
            <w:r>
              <w:rPr>
                <w:rFonts w:eastAsia="Times New Roman" w:cs="Arial"/>
                <w:lang w:eastAsia="en-AU"/>
              </w:rPr>
              <w:t xml:space="preserve"> The Australian Government has committed funding for NCRIS until mid-2017.</w:t>
            </w:r>
          </w:p>
          <w:p w14:paraId="76217432" w14:textId="77777777" w:rsidR="00575984" w:rsidRDefault="00575984" w:rsidP="00C967AA">
            <w:pPr>
              <w:rPr>
                <w:rFonts w:eastAsia="Times New Roman" w:cs="Arial"/>
                <w:lang w:eastAsia="en-AU"/>
              </w:rPr>
            </w:pPr>
            <w:r w:rsidRPr="008D643A">
              <w:rPr>
                <w:rFonts w:eastAsia="Times New Roman" w:cs="Arial"/>
                <w:lang w:eastAsia="en-AU"/>
              </w:rPr>
              <w:t xml:space="preserve"> </w:t>
            </w:r>
          </w:p>
          <w:p w14:paraId="7C739999" w14:textId="77777777" w:rsidR="00575984" w:rsidRDefault="00575984" w:rsidP="00C967AA">
            <w:pPr>
              <w:rPr>
                <w:rFonts w:eastAsia="Times New Roman" w:cs="Arial"/>
                <w:lang w:eastAsia="en-AU"/>
              </w:rPr>
            </w:pPr>
          </w:p>
          <w:p w14:paraId="3CA36807" w14:textId="25BA1529" w:rsidR="00575984" w:rsidRPr="008D643A" w:rsidRDefault="00575984" w:rsidP="00C967AA">
            <w:pPr>
              <w:rPr>
                <w:rFonts w:eastAsia="Times New Roman" w:cs="Arial"/>
                <w:lang w:eastAsia="en-AU"/>
              </w:rPr>
            </w:pPr>
          </w:p>
        </w:tc>
      </w:tr>
      <w:tr w:rsidR="00575984" w:rsidRPr="008D643A" w14:paraId="6FB1DC50" w14:textId="77777777" w:rsidTr="004E2CCC">
        <w:tc>
          <w:tcPr>
            <w:tcW w:w="3397" w:type="dxa"/>
            <w:vMerge/>
          </w:tcPr>
          <w:p w14:paraId="55A04B72" w14:textId="77777777" w:rsidR="00575984" w:rsidRPr="008D643A" w:rsidRDefault="00575984" w:rsidP="00C967AA">
            <w:pPr>
              <w:rPr>
                <w:rFonts w:eastAsia="Times New Roman" w:cs="Arial"/>
                <w:b/>
                <w:lang w:eastAsia="en-AU"/>
              </w:rPr>
            </w:pPr>
          </w:p>
        </w:tc>
        <w:tc>
          <w:tcPr>
            <w:tcW w:w="10551" w:type="dxa"/>
          </w:tcPr>
          <w:p w14:paraId="4542DD25" w14:textId="16C036D6" w:rsidR="00575984" w:rsidRPr="001F7AAA" w:rsidRDefault="00575984" w:rsidP="00C967AA">
            <w:pPr>
              <w:rPr>
                <w:rFonts w:eastAsia="Times New Roman" w:cs="Arial"/>
                <w:b/>
                <w:lang w:eastAsia="en-AU"/>
              </w:rPr>
            </w:pPr>
            <w:r>
              <w:rPr>
                <w:rFonts w:eastAsia="Times New Roman" w:cs="Arial"/>
                <w:b/>
                <w:lang w:eastAsia="en-AU"/>
              </w:rPr>
              <w:t>Responsibilities</w:t>
            </w:r>
          </w:p>
          <w:p w14:paraId="312AA3F1" w14:textId="0D62DCE4" w:rsidR="00575984" w:rsidRPr="008D643A" w:rsidRDefault="00575984" w:rsidP="00826214">
            <w:pPr>
              <w:pStyle w:val="ListParagraph"/>
              <w:numPr>
                <w:ilvl w:val="0"/>
                <w:numId w:val="14"/>
              </w:numPr>
              <w:rPr>
                <w:rFonts w:eastAsia="Times New Roman" w:cs="Arial"/>
                <w:lang w:eastAsia="en-AU"/>
              </w:rPr>
            </w:pPr>
            <w:r>
              <w:rPr>
                <w:rFonts w:eastAsia="Times New Roman" w:cs="Arial"/>
                <w:lang w:eastAsia="en-AU"/>
              </w:rPr>
              <w:t>supports</w:t>
            </w:r>
            <w:r w:rsidRPr="008D643A">
              <w:rPr>
                <w:rFonts w:eastAsia="Times New Roman" w:cs="Arial"/>
                <w:lang w:eastAsia="en-AU"/>
              </w:rPr>
              <w:t xml:space="preserve"> a national collaborative research infrastructure network to enable Australian researchers to address key national and global challenges;</w:t>
            </w:r>
          </w:p>
          <w:p w14:paraId="4BE023AD" w14:textId="24C0C343" w:rsidR="00575984" w:rsidRPr="008D643A" w:rsidRDefault="00575984" w:rsidP="00826214">
            <w:pPr>
              <w:pStyle w:val="ListParagraph"/>
              <w:numPr>
                <w:ilvl w:val="0"/>
                <w:numId w:val="14"/>
              </w:numPr>
              <w:rPr>
                <w:rFonts w:eastAsia="Times New Roman" w:cs="Arial"/>
                <w:lang w:eastAsia="en-AU"/>
              </w:rPr>
            </w:pPr>
            <w:proofErr w:type="gramStart"/>
            <w:r>
              <w:rPr>
                <w:rFonts w:eastAsia="Times New Roman" w:cs="Arial"/>
                <w:lang w:eastAsia="en-AU"/>
              </w:rPr>
              <w:t>provides</w:t>
            </w:r>
            <w:proofErr w:type="gramEnd"/>
            <w:r w:rsidRPr="008D643A">
              <w:rPr>
                <w:rFonts w:eastAsia="Times New Roman" w:cs="Arial"/>
                <w:lang w:eastAsia="en-AU"/>
              </w:rPr>
              <w:t xml:space="preserve"> the Australian membership fees for the European Molecular Biology Laboratory.</w:t>
            </w:r>
          </w:p>
          <w:p w14:paraId="70C5767E" w14:textId="77777777" w:rsidR="00575984" w:rsidRDefault="00575984" w:rsidP="00C967AA">
            <w:pPr>
              <w:rPr>
                <w:rFonts w:eastAsia="Times New Roman" w:cs="Arial"/>
                <w:lang w:eastAsia="en-AU"/>
              </w:rPr>
            </w:pPr>
          </w:p>
          <w:p w14:paraId="32AC0713" w14:textId="77777777" w:rsidR="00575984" w:rsidRDefault="00575984" w:rsidP="001F7AAA">
            <w:pPr>
              <w:rPr>
                <w:rFonts w:eastAsia="Times New Roman" w:cs="Arial"/>
                <w:lang w:eastAsia="en-AU"/>
              </w:rPr>
            </w:pPr>
            <w:r w:rsidRPr="008D643A">
              <w:rPr>
                <w:rFonts w:eastAsia="Times New Roman" w:cs="Arial"/>
                <w:lang w:eastAsia="en-AU"/>
              </w:rPr>
              <w:t xml:space="preserve">Funding under NCRIS is currently guided by the 2015 program guidelines which set out the intention to support currently funded NCRIS projects </w:t>
            </w:r>
            <w:r>
              <w:rPr>
                <w:rFonts w:eastAsia="Times New Roman" w:cs="Arial"/>
                <w:lang w:eastAsia="en-AU"/>
              </w:rPr>
              <w:t>to remain operational until mid-</w:t>
            </w:r>
            <w:r w:rsidRPr="008D643A">
              <w:rPr>
                <w:rFonts w:eastAsia="Times New Roman" w:cs="Arial"/>
                <w:lang w:eastAsia="en-AU"/>
              </w:rPr>
              <w:t xml:space="preserve">2016 and allow them to position themselves for the period beyond 30 June 2016. </w:t>
            </w:r>
          </w:p>
          <w:p w14:paraId="0A9776B6" w14:textId="3AFD628A" w:rsidR="00575984" w:rsidRPr="008D643A" w:rsidRDefault="00575984" w:rsidP="001F7AAA">
            <w:pPr>
              <w:rPr>
                <w:rFonts w:eastAsia="Times New Roman" w:cs="Arial"/>
                <w:lang w:eastAsia="en-AU"/>
              </w:rPr>
            </w:pPr>
          </w:p>
        </w:tc>
      </w:tr>
      <w:tr w:rsidR="00575984" w:rsidRPr="008D643A" w14:paraId="551AF408" w14:textId="77777777" w:rsidTr="004E2CCC">
        <w:tc>
          <w:tcPr>
            <w:tcW w:w="3397" w:type="dxa"/>
            <w:vMerge/>
          </w:tcPr>
          <w:p w14:paraId="155DCBBF" w14:textId="77777777" w:rsidR="00575984" w:rsidRPr="008D643A" w:rsidRDefault="00575984" w:rsidP="00C967AA">
            <w:pPr>
              <w:rPr>
                <w:rFonts w:eastAsia="Times New Roman" w:cs="Arial"/>
                <w:b/>
                <w:lang w:eastAsia="en-AU"/>
              </w:rPr>
            </w:pPr>
          </w:p>
        </w:tc>
        <w:tc>
          <w:tcPr>
            <w:tcW w:w="10551" w:type="dxa"/>
          </w:tcPr>
          <w:p w14:paraId="4A5E1A67" w14:textId="77777777" w:rsidR="00575984" w:rsidRPr="008D643A" w:rsidRDefault="00575984" w:rsidP="00C967AA">
            <w:pPr>
              <w:rPr>
                <w:rFonts w:eastAsia="Times New Roman" w:cs="Arial"/>
                <w:b/>
                <w:lang w:eastAsia="en-AU"/>
              </w:rPr>
            </w:pPr>
            <w:r w:rsidRPr="008D643A">
              <w:rPr>
                <w:rFonts w:eastAsia="Times New Roman" w:cs="Arial"/>
                <w:b/>
                <w:lang w:eastAsia="en-AU"/>
              </w:rPr>
              <w:t xml:space="preserve">Currently Funded Infrastructure Projects </w:t>
            </w:r>
          </w:p>
          <w:p w14:paraId="1727CE37" w14:textId="77777777" w:rsidR="00575984" w:rsidRDefault="00575984" w:rsidP="00C967AA">
            <w:pPr>
              <w:rPr>
                <w:rFonts w:eastAsia="Times New Roman" w:cs="Arial"/>
                <w:lang w:eastAsia="en-AU"/>
              </w:rPr>
            </w:pPr>
            <w:r w:rsidRPr="008D643A">
              <w:rPr>
                <w:rFonts w:eastAsia="Times New Roman" w:cs="Arial"/>
                <w:lang w:eastAsia="en-AU"/>
              </w:rPr>
              <w:t xml:space="preserve">Astronomy Australia Ltd., Atlas of Living Australia, </w:t>
            </w:r>
            <w:proofErr w:type="spellStart"/>
            <w:r w:rsidRPr="008D643A">
              <w:rPr>
                <w:rFonts w:eastAsia="Times New Roman" w:cs="Arial"/>
                <w:lang w:eastAsia="en-AU"/>
              </w:rPr>
              <w:t>AuScope</w:t>
            </w:r>
            <w:proofErr w:type="spellEnd"/>
            <w:r w:rsidRPr="008D643A">
              <w:rPr>
                <w:rFonts w:eastAsia="Times New Roman" w:cs="Arial"/>
                <w:lang w:eastAsia="en-AU"/>
              </w:rPr>
              <w:t xml:space="preserve">, Australian Animal Health Laboratory, Australian Microscopy and Microanalysis Research Facility, Australian National Data Service, Australian National Fabrication Facility, Australian </w:t>
            </w:r>
            <w:proofErr w:type="spellStart"/>
            <w:r w:rsidRPr="008D643A">
              <w:rPr>
                <w:rFonts w:eastAsia="Times New Roman" w:cs="Arial"/>
                <w:lang w:eastAsia="en-AU"/>
              </w:rPr>
              <w:t>Phenomics</w:t>
            </w:r>
            <w:proofErr w:type="spellEnd"/>
            <w:r w:rsidRPr="008D643A">
              <w:rPr>
                <w:rFonts w:eastAsia="Times New Roman" w:cs="Arial"/>
                <w:lang w:eastAsia="en-AU"/>
              </w:rPr>
              <w:t xml:space="preserve"> Network, Australian Plant </w:t>
            </w:r>
            <w:proofErr w:type="spellStart"/>
            <w:r w:rsidRPr="008D643A">
              <w:rPr>
                <w:rFonts w:eastAsia="Times New Roman" w:cs="Arial"/>
                <w:lang w:eastAsia="en-AU"/>
              </w:rPr>
              <w:t>Phenomics</w:t>
            </w:r>
            <w:proofErr w:type="spellEnd"/>
            <w:r w:rsidRPr="008D643A">
              <w:rPr>
                <w:rFonts w:eastAsia="Times New Roman" w:cs="Arial"/>
                <w:lang w:eastAsia="en-AU"/>
              </w:rPr>
              <w:t xml:space="preserve"> Facility, Australian Plasma Fusion Research Facility, Australian Urban Research Infrastructure Network, Biofuels, </w:t>
            </w:r>
            <w:proofErr w:type="spellStart"/>
            <w:r w:rsidRPr="008D643A">
              <w:rPr>
                <w:rFonts w:eastAsia="Times New Roman" w:cs="Arial"/>
                <w:lang w:eastAsia="en-AU"/>
              </w:rPr>
              <w:t>Bioplatforms</w:t>
            </w:r>
            <w:proofErr w:type="spellEnd"/>
            <w:r w:rsidRPr="008D643A">
              <w:rPr>
                <w:rFonts w:eastAsia="Times New Roman" w:cs="Arial"/>
                <w:lang w:eastAsia="en-AU"/>
              </w:rPr>
              <w:t xml:space="preserve"> Australia, European Molecular Biology Laboratory Australia, Groundwater, Heavy Ion Accelerators, Integrated Marine Observing System, National Computational Infrastructure, National </w:t>
            </w:r>
            <w:proofErr w:type="spellStart"/>
            <w:r w:rsidRPr="008D643A">
              <w:rPr>
                <w:rFonts w:eastAsia="Times New Roman" w:cs="Arial"/>
                <w:lang w:eastAsia="en-AU"/>
              </w:rPr>
              <w:t>Deuteration</w:t>
            </w:r>
            <w:proofErr w:type="spellEnd"/>
            <w:r w:rsidRPr="008D643A">
              <w:rPr>
                <w:rFonts w:eastAsia="Times New Roman" w:cs="Arial"/>
                <w:lang w:eastAsia="en-AU"/>
              </w:rPr>
              <w:t xml:space="preserve"> Facility, National </w:t>
            </w:r>
            <w:proofErr w:type="spellStart"/>
            <w:r w:rsidRPr="008D643A">
              <w:rPr>
                <w:rFonts w:eastAsia="Times New Roman" w:cs="Arial"/>
                <w:lang w:eastAsia="en-AU"/>
              </w:rPr>
              <w:t>eResearch</w:t>
            </w:r>
            <w:proofErr w:type="spellEnd"/>
            <w:r w:rsidRPr="008D643A">
              <w:rPr>
                <w:rFonts w:eastAsia="Times New Roman" w:cs="Arial"/>
                <w:lang w:eastAsia="en-AU"/>
              </w:rPr>
              <w:t xml:space="preserve"> Collaboration, Tools and Resources, National Imaging Facility, Nuclear Science Facilities – Bragg Institute, </w:t>
            </w:r>
            <w:proofErr w:type="spellStart"/>
            <w:r w:rsidRPr="008D643A">
              <w:rPr>
                <w:rFonts w:eastAsia="Times New Roman" w:cs="Arial"/>
                <w:lang w:eastAsia="en-AU"/>
              </w:rPr>
              <w:t>Pawsey</w:t>
            </w:r>
            <w:proofErr w:type="spellEnd"/>
            <w:r w:rsidRPr="008D643A">
              <w:rPr>
                <w:rFonts w:eastAsia="Times New Roman" w:cs="Arial"/>
                <w:lang w:eastAsia="en-AU"/>
              </w:rPr>
              <w:t xml:space="preserve"> Supercomputing Centre, Population Health Research Network, Research Data Storage Infrastructure, Terrestrial Ecosystem Research Network, Translating Health Discovery.  </w:t>
            </w:r>
          </w:p>
          <w:p w14:paraId="6D1EE3ED" w14:textId="77777777" w:rsidR="00575984" w:rsidRPr="008D643A" w:rsidRDefault="00575984" w:rsidP="00C967AA">
            <w:pPr>
              <w:rPr>
                <w:rFonts w:eastAsia="Times New Roman" w:cs="Arial"/>
                <w:lang w:eastAsia="en-AU"/>
              </w:rPr>
            </w:pPr>
          </w:p>
        </w:tc>
      </w:tr>
      <w:tr w:rsidR="00575984" w:rsidRPr="008D643A" w14:paraId="43C2CF0C" w14:textId="77777777" w:rsidTr="004E2CCC">
        <w:tc>
          <w:tcPr>
            <w:tcW w:w="3397" w:type="dxa"/>
            <w:vMerge/>
          </w:tcPr>
          <w:p w14:paraId="0610B758" w14:textId="77777777" w:rsidR="00575984" w:rsidRPr="008D643A" w:rsidRDefault="00575984" w:rsidP="00C967AA">
            <w:pPr>
              <w:rPr>
                <w:rFonts w:eastAsia="Times New Roman" w:cs="Arial"/>
                <w:b/>
                <w:lang w:eastAsia="en-AU"/>
              </w:rPr>
            </w:pPr>
          </w:p>
        </w:tc>
        <w:tc>
          <w:tcPr>
            <w:tcW w:w="10551" w:type="dxa"/>
          </w:tcPr>
          <w:p w14:paraId="4A5655AD" w14:textId="77777777" w:rsidR="00575984" w:rsidRPr="00077AC3" w:rsidRDefault="00575984" w:rsidP="00C967AA">
            <w:pPr>
              <w:rPr>
                <w:rFonts w:eastAsia="Times New Roman" w:cs="Arial"/>
                <w:b/>
                <w:lang w:eastAsia="en-AU"/>
              </w:rPr>
            </w:pPr>
            <w:r w:rsidRPr="00077AC3">
              <w:rPr>
                <w:rFonts w:eastAsia="Times New Roman" w:cs="Arial"/>
                <w:b/>
                <w:lang w:eastAsia="en-AU"/>
              </w:rPr>
              <w:t>Interaction with Macquarie</w:t>
            </w:r>
          </w:p>
          <w:p w14:paraId="6D21BC37" w14:textId="77777777" w:rsidR="00575984" w:rsidRPr="008D643A" w:rsidRDefault="00575984" w:rsidP="00C967AA">
            <w:r w:rsidRPr="008D643A">
              <w:t>ANDS Projects Seeding the Commons and Metadata Stores (complete)</w:t>
            </w:r>
          </w:p>
          <w:p w14:paraId="423E792D" w14:textId="77777777" w:rsidR="00575984" w:rsidRPr="008D643A" w:rsidRDefault="00575984" w:rsidP="00C967AA">
            <w:proofErr w:type="spellStart"/>
            <w:r w:rsidRPr="008D643A">
              <w:t>NeCTAR</w:t>
            </w:r>
            <w:proofErr w:type="spellEnd"/>
            <w:r w:rsidRPr="008D643A">
              <w:t xml:space="preserve"> Cloud</w:t>
            </w:r>
          </w:p>
          <w:p w14:paraId="71BB7C1A" w14:textId="77777777" w:rsidR="00575984" w:rsidRPr="008D643A" w:rsidRDefault="00575984" w:rsidP="00C967AA">
            <w:r w:rsidRPr="008D643A">
              <w:t>TERN (Terrestrial Ecosystem Research Network) “connects ecosystem scientists and enables them to collect, contribute, store, share and integrate data across disciplines”. Involved 27 university partners, CSIRO and more than 25 other research organisations, Australian, state and territory government agencies, non-government organisations. (complete)</w:t>
            </w:r>
          </w:p>
          <w:p w14:paraId="4094D999" w14:textId="77777777" w:rsidR="00575984" w:rsidRPr="008D643A" w:rsidRDefault="00575984" w:rsidP="00C967AA">
            <w:proofErr w:type="spellStart"/>
            <w:r w:rsidRPr="008D643A">
              <w:t>AuScope</w:t>
            </w:r>
            <w:proofErr w:type="spellEnd"/>
            <w:r w:rsidRPr="008D643A">
              <w:t xml:space="preserve"> (ARC </w:t>
            </w:r>
            <w:proofErr w:type="spellStart"/>
            <w:r w:rsidRPr="008D643A">
              <w:t>CoE</w:t>
            </w:r>
            <w:proofErr w:type="spellEnd"/>
            <w:r w:rsidRPr="008D643A">
              <w:t xml:space="preserve"> for Core to Crust Fluid Systems (CCFS))</w:t>
            </w:r>
          </w:p>
          <w:p w14:paraId="296C88A4" w14:textId="77777777" w:rsidR="00575984" w:rsidRPr="008D643A" w:rsidRDefault="00575984" w:rsidP="00C967AA">
            <w:pPr>
              <w:rPr>
                <w:rFonts w:eastAsia="Times New Roman" w:cs="Arial"/>
                <w:lang w:eastAsia="en-AU"/>
              </w:rPr>
            </w:pPr>
          </w:p>
        </w:tc>
      </w:tr>
      <w:tr w:rsidR="00575984" w:rsidRPr="008D643A" w14:paraId="2AEAE57E" w14:textId="77777777" w:rsidTr="004E2CCC">
        <w:tc>
          <w:tcPr>
            <w:tcW w:w="3397" w:type="dxa"/>
            <w:vMerge w:val="restart"/>
          </w:tcPr>
          <w:p w14:paraId="238DE68A" w14:textId="77777777" w:rsidR="00575984" w:rsidRPr="008D643A" w:rsidRDefault="00575984" w:rsidP="00C967AA">
            <w:pPr>
              <w:rPr>
                <w:rFonts w:eastAsia="Times New Roman" w:cs="Arial"/>
                <w:b/>
                <w:lang w:eastAsia="en-AU"/>
              </w:rPr>
            </w:pPr>
            <w:r w:rsidRPr="008D643A">
              <w:rPr>
                <w:rFonts w:eastAsia="Times New Roman" w:cs="Arial"/>
                <w:b/>
                <w:lang w:eastAsia="en-AU"/>
              </w:rPr>
              <w:t>Australian National Data Service</w:t>
            </w:r>
          </w:p>
        </w:tc>
        <w:tc>
          <w:tcPr>
            <w:tcW w:w="10551" w:type="dxa"/>
          </w:tcPr>
          <w:p w14:paraId="15D1F42F" w14:textId="77777777" w:rsidR="00575984" w:rsidRPr="008D643A" w:rsidRDefault="00575984" w:rsidP="00C967AA">
            <w:pPr>
              <w:rPr>
                <w:rFonts w:eastAsia="Times New Roman" w:cs="Arial"/>
                <w:b/>
                <w:lang w:eastAsia="en-AU"/>
              </w:rPr>
            </w:pPr>
            <w:r w:rsidRPr="008D643A">
              <w:rPr>
                <w:rFonts w:eastAsia="Times New Roman" w:cs="Arial"/>
                <w:b/>
                <w:lang w:eastAsia="en-AU"/>
              </w:rPr>
              <w:t>Description</w:t>
            </w:r>
          </w:p>
          <w:p w14:paraId="32915D75" w14:textId="77777777" w:rsidR="00575984" w:rsidRPr="00CE7FDC" w:rsidRDefault="00575984" w:rsidP="00C967AA">
            <w:r w:rsidRPr="008D643A">
              <w:t>The Australian National Data Service (ANDS)</w:t>
            </w:r>
            <w:r>
              <w:t xml:space="preserve"> was established in 2009 and</w:t>
            </w:r>
            <w:r w:rsidRPr="008D643A">
              <w:t xml:space="preserve"> is funded under the N</w:t>
            </w:r>
            <w:r>
              <w:t>C</w:t>
            </w:r>
            <w:r w:rsidRPr="008D643A">
              <w:t xml:space="preserve">RIS to </w:t>
            </w:r>
            <w:r w:rsidRPr="00CE7FDC">
              <w:t>lead</w:t>
            </w:r>
            <w:r>
              <w:t xml:space="preserve"> the</w:t>
            </w:r>
            <w:r w:rsidRPr="00CE7FDC">
              <w:t xml:space="preserve"> creation of a cohesive national collection of research resources and a richer data environment that will:</w:t>
            </w:r>
          </w:p>
          <w:p w14:paraId="0DBB15B1" w14:textId="77777777" w:rsidR="00575984" w:rsidRPr="00CE7FDC" w:rsidRDefault="00575984" w:rsidP="00826214">
            <w:pPr>
              <w:numPr>
                <w:ilvl w:val="0"/>
                <w:numId w:val="15"/>
              </w:numPr>
            </w:pPr>
            <w:r w:rsidRPr="00CE7FDC">
              <w:t>make better use of Australia's research outputs</w:t>
            </w:r>
          </w:p>
          <w:p w14:paraId="5D3BE604" w14:textId="77777777" w:rsidR="00575984" w:rsidRPr="00CE7FDC" w:rsidRDefault="00575984" w:rsidP="00826214">
            <w:pPr>
              <w:numPr>
                <w:ilvl w:val="0"/>
                <w:numId w:val="15"/>
              </w:numPr>
            </w:pPr>
            <w:r w:rsidRPr="00CE7FDC">
              <w:lastRenderedPageBreak/>
              <w:t xml:space="preserve">enable Australian researchers to easily publish, discover, access and use data </w:t>
            </w:r>
          </w:p>
          <w:p w14:paraId="5DF40290" w14:textId="77777777" w:rsidR="00575984" w:rsidRDefault="00575984" w:rsidP="00826214">
            <w:pPr>
              <w:numPr>
                <w:ilvl w:val="0"/>
                <w:numId w:val="15"/>
              </w:numPr>
            </w:pPr>
            <w:r w:rsidRPr="00CE7FDC">
              <w:t xml:space="preserve">enable new and more efficient research </w:t>
            </w:r>
          </w:p>
          <w:p w14:paraId="751349B7" w14:textId="77777777" w:rsidR="00575984" w:rsidRDefault="00575984" w:rsidP="00C967AA">
            <w:pPr>
              <w:ind w:left="720"/>
            </w:pPr>
          </w:p>
          <w:p w14:paraId="7FFFF7E6" w14:textId="77777777" w:rsidR="00575984" w:rsidRPr="00B820BD" w:rsidRDefault="00575984" w:rsidP="00C967AA">
            <w:r>
              <w:t xml:space="preserve">ANDS’ mission is </w:t>
            </w:r>
            <w:r w:rsidRPr="00B820BD">
              <w:t xml:space="preserve">to transform Australia’s research data environment by making Australian research data </w:t>
            </w:r>
          </w:p>
          <w:p w14:paraId="19D62DAA" w14:textId="77777777" w:rsidR="00575984" w:rsidRPr="00B820BD" w:rsidRDefault="00575984" w:rsidP="00C967AA">
            <w:r w:rsidRPr="00B820BD">
              <w:t xml:space="preserve">collections more valuable by managing, connecting, enabling discovery and supporting the multiple </w:t>
            </w:r>
          </w:p>
          <w:p w14:paraId="48A29704" w14:textId="77777777" w:rsidR="00575984" w:rsidRPr="00B820BD" w:rsidRDefault="00575984" w:rsidP="00C967AA">
            <w:proofErr w:type="gramStart"/>
            <w:r w:rsidRPr="00B820BD">
              <w:t>use</w:t>
            </w:r>
            <w:proofErr w:type="gramEnd"/>
            <w:r w:rsidRPr="00B820BD">
              <w:t xml:space="preserve"> of this data. </w:t>
            </w:r>
            <w:r>
              <w:t xml:space="preserve"> </w:t>
            </w:r>
          </w:p>
          <w:p w14:paraId="20886081" w14:textId="77777777" w:rsidR="00575984" w:rsidRPr="008D643A" w:rsidRDefault="00575984" w:rsidP="00C967AA"/>
        </w:tc>
      </w:tr>
      <w:tr w:rsidR="00575984" w:rsidRPr="008D643A" w14:paraId="7DA8E2DE" w14:textId="77777777" w:rsidTr="004E2CCC">
        <w:tc>
          <w:tcPr>
            <w:tcW w:w="3397" w:type="dxa"/>
            <w:vMerge/>
          </w:tcPr>
          <w:p w14:paraId="1072E832" w14:textId="77777777" w:rsidR="00575984" w:rsidRPr="008D643A" w:rsidRDefault="00575984" w:rsidP="00C967AA">
            <w:pPr>
              <w:rPr>
                <w:rFonts w:eastAsia="Times New Roman" w:cs="Arial"/>
                <w:b/>
                <w:lang w:eastAsia="en-AU"/>
              </w:rPr>
            </w:pPr>
          </w:p>
        </w:tc>
        <w:tc>
          <w:tcPr>
            <w:tcW w:w="10551" w:type="dxa"/>
          </w:tcPr>
          <w:p w14:paraId="23427C57" w14:textId="77777777" w:rsidR="00575984" w:rsidRPr="008D643A" w:rsidRDefault="00575984" w:rsidP="00C967AA">
            <w:pPr>
              <w:rPr>
                <w:rFonts w:eastAsia="Times New Roman" w:cs="Arial"/>
                <w:b/>
                <w:lang w:eastAsia="en-AU"/>
              </w:rPr>
            </w:pPr>
            <w:r w:rsidRPr="008D643A">
              <w:rPr>
                <w:rFonts w:eastAsia="Times New Roman" w:cs="Arial"/>
                <w:b/>
                <w:lang w:eastAsia="en-AU"/>
              </w:rPr>
              <w:t>Funding Sources</w:t>
            </w:r>
          </w:p>
          <w:p w14:paraId="48A8D598" w14:textId="77777777" w:rsidR="00575984" w:rsidRDefault="00575984" w:rsidP="00C967AA">
            <w:r>
              <w:t xml:space="preserve">ANDS is funded by the Australian Government through the </w:t>
            </w:r>
            <w:r w:rsidRPr="008D643A">
              <w:t>N</w:t>
            </w:r>
            <w:r>
              <w:t xml:space="preserve">ational </w:t>
            </w:r>
            <w:r w:rsidRPr="008D643A">
              <w:t>C</w:t>
            </w:r>
            <w:r>
              <w:t xml:space="preserve">ollaborative </w:t>
            </w:r>
            <w:r w:rsidRPr="008D643A">
              <w:t>R</w:t>
            </w:r>
            <w:r>
              <w:t xml:space="preserve">esearch Infrastructure </w:t>
            </w:r>
            <w:r w:rsidRPr="008D643A">
              <w:t>S</w:t>
            </w:r>
            <w:r>
              <w:t xml:space="preserve">trategy (NCRIS). </w:t>
            </w:r>
          </w:p>
          <w:p w14:paraId="101706B5" w14:textId="77777777" w:rsidR="00575984" w:rsidRDefault="00575984" w:rsidP="00C967AA">
            <w:r>
              <w:t xml:space="preserve">The current ANDS business plan (2015 – 2016) </w:t>
            </w:r>
          </w:p>
          <w:p w14:paraId="5E69031A" w14:textId="77777777" w:rsidR="00575984" w:rsidRPr="008D643A" w:rsidRDefault="00575984" w:rsidP="00C967AA">
            <w:pPr>
              <w:rPr>
                <w:rFonts w:eastAsia="Times New Roman" w:cs="Arial"/>
                <w:lang w:eastAsia="en-AU"/>
              </w:rPr>
            </w:pPr>
          </w:p>
        </w:tc>
      </w:tr>
      <w:tr w:rsidR="00575984" w:rsidRPr="008D643A" w14:paraId="33886ED4" w14:textId="77777777" w:rsidTr="004E2CCC">
        <w:tc>
          <w:tcPr>
            <w:tcW w:w="3397" w:type="dxa"/>
            <w:vMerge/>
          </w:tcPr>
          <w:p w14:paraId="53146A77" w14:textId="77777777" w:rsidR="00575984" w:rsidRPr="008D643A" w:rsidRDefault="00575984" w:rsidP="00C967AA">
            <w:pPr>
              <w:rPr>
                <w:rFonts w:eastAsia="Times New Roman" w:cs="Arial"/>
                <w:b/>
                <w:lang w:eastAsia="en-AU"/>
              </w:rPr>
            </w:pPr>
          </w:p>
        </w:tc>
        <w:tc>
          <w:tcPr>
            <w:tcW w:w="10551" w:type="dxa"/>
          </w:tcPr>
          <w:p w14:paraId="51452EF9" w14:textId="77777777" w:rsidR="00575984" w:rsidRPr="008D643A" w:rsidRDefault="00575984" w:rsidP="00C967AA">
            <w:pPr>
              <w:rPr>
                <w:rFonts w:eastAsia="Times New Roman" w:cs="Arial"/>
                <w:b/>
                <w:lang w:eastAsia="en-AU"/>
              </w:rPr>
            </w:pPr>
            <w:r w:rsidRPr="008D643A">
              <w:rPr>
                <w:rFonts w:eastAsia="Times New Roman" w:cs="Arial"/>
                <w:b/>
                <w:lang w:eastAsia="en-AU"/>
              </w:rPr>
              <w:t>Responsibilities</w:t>
            </w:r>
          </w:p>
          <w:p w14:paraId="6627D4D4" w14:textId="77777777" w:rsidR="00575984" w:rsidRPr="008D643A" w:rsidRDefault="00575984" w:rsidP="00C967AA">
            <w:r w:rsidRPr="008D643A">
              <w:t xml:space="preserve">ANDS is responsible for </w:t>
            </w:r>
          </w:p>
          <w:p w14:paraId="211CC912" w14:textId="77777777" w:rsidR="00575984" w:rsidRPr="00CE7FDC" w:rsidRDefault="00575984" w:rsidP="00826214">
            <w:pPr>
              <w:numPr>
                <w:ilvl w:val="0"/>
                <w:numId w:val="16"/>
              </w:numPr>
            </w:pPr>
            <w:r w:rsidRPr="00CE7FDC">
              <w:t>mak</w:t>
            </w:r>
            <w:r w:rsidRPr="008D643A">
              <w:t>ing</w:t>
            </w:r>
            <w:r w:rsidRPr="00CE7FDC">
              <w:t xml:space="preserve"> Australian research data collections more valuable by managing, connecting, enabling discovery and supporting the reuse of this data </w:t>
            </w:r>
          </w:p>
          <w:p w14:paraId="685A7B46" w14:textId="77777777" w:rsidR="00575984" w:rsidRPr="00CE7FDC" w:rsidRDefault="00575984" w:rsidP="00826214">
            <w:pPr>
              <w:numPr>
                <w:ilvl w:val="0"/>
                <w:numId w:val="16"/>
              </w:numPr>
            </w:pPr>
            <w:r w:rsidRPr="00CE7FDC">
              <w:t xml:space="preserve">enable richer research, more accountable research; more efficient use of research data; and improved provision of data to support policy development </w:t>
            </w:r>
          </w:p>
          <w:p w14:paraId="72380E0F" w14:textId="77777777" w:rsidR="00575984" w:rsidRPr="008D643A" w:rsidRDefault="00575984" w:rsidP="00C967AA">
            <w:r w:rsidRPr="008D643A">
              <w:t xml:space="preserve">ANDS partners with universities and other research organisations on funded projects, delivers national services such as Research Data Australia repository and Cite My Data, helps build communities of practice and is building the Australian Research Data Commons.  </w:t>
            </w:r>
          </w:p>
          <w:p w14:paraId="6B804949" w14:textId="77777777" w:rsidR="00575984" w:rsidRPr="008D643A" w:rsidRDefault="00575984" w:rsidP="00C967AA">
            <w:pPr>
              <w:rPr>
                <w:rFonts w:eastAsia="Times New Roman" w:cs="Arial"/>
                <w:b/>
                <w:lang w:eastAsia="en-AU"/>
              </w:rPr>
            </w:pPr>
          </w:p>
        </w:tc>
      </w:tr>
      <w:tr w:rsidR="00575984" w:rsidRPr="008D643A" w14:paraId="1DB81212" w14:textId="77777777" w:rsidTr="004E2CCC">
        <w:tc>
          <w:tcPr>
            <w:tcW w:w="3397" w:type="dxa"/>
            <w:vMerge/>
          </w:tcPr>
          <w:p w14:paraId="141097DB" w14:textId="77777777" w:rsidR="00575984" w:rsidRPr="008D643A" w:rsidRDefault="00575984" w:rsidP="00C967AA">
            <w:pPr>
              <w:rPr>
                <w:rFonts w:eastAsia="Times New Roman" w:cs="Arial"/>
                <w:b/>
                <w:lang w:eastAsia="en-AU"/>
              </w:rPr>
            </w:pPr>
          </w:p>
        </w:tc>
        <w:tc>
          <w:tcPr>
            <w:tcW w:w="10551" w:type="dxa"/>
          </w:tcPr>
          <w:p w14:paraId="5B9E620E" w14:textId="77777777" w:rsidR="00575984" w:rsidRPr="008D643A" w:rsidRDefault="00575984" w:rsidP="00C967AA">
            <w:pPr>
              <w:rPr>
                <w:b/>
              </w:rPr>
            </w:pPr>
            <w:r w:rsidRPr="008D643A">
              <w:rPr>
                <w:b/>
              </w:rPr>
              <w:t>Interaction with Macquarie</w:t>
            </w:r>
          </w:p>
          <w:p w14:paraId="6624A773" w14:textId="77777777" w:rsidR="00575984" w:rsidRPr="008D643A" w:rsidRDefault="00575984" w:rsidP="00C967AA">
            <w:r w:rsidRPr="008D643A">
              <w:t>Seeding the Commons</w:t>
            </w:r>
          </w:p>
          <w:p w14:paraId="2738C3FD" w14:textId="77777777" w:rsidR="00575984" w:rsidRPr="008D643A" w:rsidRDefault="00575984" w:rsidP="00C967AA">
            <w:r w:rsidRPr="008D643A">
              <w:t>Metadata Store</w:t>
            </w:r>
          </w:p>
          <w:p w14:paraId="47C39940" w14:textId="77777777" w:rsidR="00575984" w:rsidRPr="008D643A" w:rsidRDefault="00575984" w:rsidP="00C967AA">
            <w:r w:rsidRPr="008D643A">
              <w:t xml:space="preserve">At a departmental level the University has completed projects with ANDS funding for the </w:t>
            </w:r>
            <w:r w:rsidRPr="008D643A">
              <w:rPr>
                <w:b/>
              </w:rPr>
              <w:t>Department of Ancient History Papyri Data Capture project</w:t>
            </w:r>
            <w:r w:rsidRPr="008D643A">
              <w:t xml:space="preserve"> and the </w:t>
            </w:r>
            <w:proofErr w:type="spellStart"/>
            <w:r w:rsidRPr="008D643A">
              <w:rPr>
                <w:b/>
              </w:rPr>
              <w:t>Biomolecular</w:t>
            </w:r>
            <w:proofErr w:type="spellEnd"/>
            <w:r w:rsidRPr="008D643A">
              <w:rPr>
                <w:b/>
              </w:rPr>
              <w:t xml:space="preserve"> Frontiers Research Centre’s </w:t>
            </w:r>
            <w:proofErr w:type="spellStart"/>
            <w:r w:rsidRPr="008D643A">
              <w:rPr>
                <w:b/>
              </w:rPr>
              <w:t>Glycomics</w:t>
            </w:r>
            <w:proofErr w:type="spellEnd"/>
            <w:r w:rsidRPr="008D643A">
              <w:rPr>
                <w:b/>
              </w:rPr>
              <w:t xml:space="preserve"> Repository</w:t>
            </w:r>
            <w:r w:rsidRPr="008D643A">
              <w:t xml:space="preserve">. Currently funded ANDS projects include the </w:t>
            </w:r>
            <w:r w:rsidRPr="008D643A">
              <w:rPr>
                <w:b/>
              </w:rPr>
              <w:t>Biosphere and Climate Dynamics Group’s Major Open Data Collection project</w:t>
            </w:r>
            <w:r w:rsidRPr="008D643A">
              <w:t xml:space="preserve"> (</w:t>
            </w:r>
            <w:hyperlink r:id="rId35" w:history="1">
              <w:r w:rsidRPr="008D643A">
                <w:rPr>
                  <w:rStyle w:val="Hyperlink"/>
                </w:rPr>
                <w:t>https://projects.ands.org.au/id/MODC14</w:t>
              </w:r>
            </w:hyperlink>
            <w:r w:rsidRPr="008D643A">
              <w:t xml:space="preserve">) and the </w:t>
            </w:r>
            <w:r w:rsidRPr="008D643A">
              <w:rPr>
                <w:b/>
              </w:rPr>
              <w:t>Biological Sciences’ Productivity in Space and Time project</w:t>
            </w:r>
            <w:r w:rsidRPr="008D643A">
              <w:t>, in collaboration with the University of Sydney and CSIRO (</w:t>
            </w:r>
            <w:hyperlink r:id="rId36" w:history="1">
              <w:r w:rsidRPr="008D643A">
                <w:rPr>
                  <w:rStyle w:val="Hyperlink"/>
                </w:rPr>
                <w:t>https://projects.ands.org.au/id/AP28</w:t>
              </w:r>
            </w:hyperlink>
            <w:r w:rsidRPr="008D643A">
              <w:t xml:space="preserve">). </w:t>
            </w:r>
          </w:p>
          <w:p w14:paraId="35DB0C02" w14:textId="77777777" w:rsidR="00575984" w:rsidRPr="008D643A" w:rsidRDefault="00575984" w:rsidP="00C967AA"/>
          <w:p w14:paraId="2F6887D0" w14:textId="77777777" w:rsidR="00575984" w:rsidRPr="008D643A" w:rsidRDefault="00575984" w:rsidP="00C967AA">
            <w:r w:rsidRPr="008D643A">
              <w:lastRenderedPageBreak/>
              <w:t xml:space="preserve">Macquarie researchers have also collaborated on </w:t>
            </w:r>
            <w:r w:rsidRPr="008D643A">
              <w:rPr>
                <w:b/>
              </w:rPr>
              <w:t>Monash University’s Human Chr7 Proteomics Integration Project</w:t>
            </w:r>
            <w:r w:rsidRPr="008D643A">
              <w:t xml:space="preserve"> (</w:t>
            </w:r>
            <w:hyperlink r:id="rId37" w:history="1">
              <w:r w:rsidRPr="008D643A">
                <w:rPr>
                  <w:rStyle w:val="Hyperlink"/>
                </w:rPr>
                <w:t>https://projects.ands.org.au/id/AP32</w:t>
              </w:r>
            </w:hyperlink>
            <w:r w:rsidRPr="008D643A">
              <w:t xml:space="preserve">) and </w:t>
            </w:r>
            <w:r w:rsidRPr="008D643A">
              <w:rPr>
                <w:b/>
              </w:rPr>
              <w:t>Griffith University’s Australian National Corpus Project</w:t>
            </w:r>
            <w:r w:rsidRPr="008D643A">
              <w:t xml:space="preserve"> (</w:t>
            </w:r>
            <w:hyperlink r:id="rId38" w:history="1">
              <w:r w:rsidRPr="008D643A">
                <w:rPr>
                  <w:rStyle w:val="Hyperlink"/>
                </w:rPr>
                <w:t>https://projects.ands.org.au/id/NCRIS012</w:t>
              </w:r>
            </w:hyperlink>
            <w:r w:rsidRPr="008D643A">
              <w:t xml:space="preserve">).  </w:t>
            </w:r>
          </w:p>
          <w:p w14:paraId="582EFD4B" w14:textId="77777777" w:rsidR="00575984" w:rsidRPr="008D643A" w:rsidRDefault="00575984" w:rsidP="00C967AA">
            <w:pPr>
              <w:rPr>
                <w:rFonts w:eastAsia="Times New Roman" w:cs="Arial"/>
                <w:b/>
                <w:lang w:eastAsia="en-AU"/>
              </w:rPr>
            </w:pPr>
          </w:p>
        </w:tc>
      </w:tr>
      <w:tr w:rsidR="00575984" w:rsidRPr="008D643A" w14:paraId="0596EAEC" w14:textId="77777777" w:rsidTr="004E2CCC">
        <w:tc>
          <w:tcPr>
            <w:tcW w:w="3397" w:type="dxa"/>
            <w:vMerge w:val="restart"/>
          </w:tcPr>
          <w:p w14:paraId="3999FEA0" w14:textId="77777777" w:rsidR="00575984" w:rsidRPr="008D643A" w:rsidRDefault="00575984" w:rsidP="00C967AA">
            <w:pPr>
              <w:rPr>
                <w:rFonts w:eastAsia="Times New Roman" w:cs="Arial"/>
                <w:b/>
                <w:lang w:eastAsia="en-AU"/>
              </w:rPr>
            </w:pPr>
            <w:proofErr w:type="spellStart"/>
            <w:r w:rsidRPr="008D643A">
              <w:rPr>
                <w:rFonts w:eastAsia="Times New Roman" w:cs="Arial"/>
                <w:b/>
                <w:lang w:eastAsia="en-AU"/>
              </w:rPr>
              <w:lastRenderedPageBreak/>
              <w:t>NeCTAR</w:t>
            </w:r>
            <w:proofErr w:type="spellEnd"/>
          </w:p>
        </w:tc>
        <w:tc>
          <w:tcPr>
            <w:tcW w:w="10551" w:type="dxa"/>
          </w:tcPr>
          <w:p w14:paraId="63CA21E8" w14:textId="77777777" w:rsidR="00575984" w:rsidRPr="008D643A" w:rsidRDefault="00575984" w:rsidP="00C967AA">
            <w:pPr>
              <w:rPr>
                <w:rFonts w:eastAsia="Times New Roman" w:cs="Arial"/>
                <w:b/>
                <w:lang w:eastAsia="en-AU"/>
              </w:rPr>
            </w:pPr>
            <w:r w:rsidRPr="008D643A">
              <w:rPr>
                <w:rFonts w:eastAsia="Times New Roman" w:cs="Arial"/>
                <w:b/>
                <w:lang w:eastAsia="en-AU"/>
              </w:rPr>
              <w:t>Description</w:t>
            </w:r>
          </w:p>
          <w:p w14:paraId="5C839CB1" w14:textId="77777777" w:rsidR="00575984" w:rsidRDefault="00575984" w:rsidP="00C967AA">
            <w:pPr>
              <w:rPr>
                <w:rFonts w:eastAsia="Times New Roman" w:cs="Arial"/>
                <w:lang w:eastAsia="en-AU"/>
              </w:rPr>
            </w:pPr>
            <w:proofErr w:type="spellStart"/>
            <w:r w:rsidRPr="008D643A">
              <w:rPr>
                <w:rFonts w:eastAsia="Times New Roman" w:cs="Arial"/>
                <w:lang w:eastAsia="en-AU"/>
              </w:rPr>
              <w:t>NeCTAR</w:t>
            </w:r>
            <w:proofErr w:type="spellEnd"/>
            <w:r w:rsidRPr="008D643A">
              <w:rPr>
                <w:rFonts w:eastAsia="Times New Roman" w:cs="Arial"/>
                <w:lang w:eastAsia="en-AU"/>
              </w:rPr>
              <w:t xml:space="preserve"> is supported by the Australian Government through the National Collaborative Research Infrastructure Strategy to provide </w:t>
            </w:r>
            <w:proofErr w:type="spellStart"/>
            <w:r w:rsidRPr="008D643A">
              <w:rPr>
                <w:rFonts w:eastAsia="Times New Roman" w:cs="Arial"/>
                <w:lang w:eastAsia="en-AU"/>
              </w:rPr>
              <w:t>eResearch</w:t>
            </w:r>
            <w:proofErr w:type="spellEnd"/>
            <w:r w:rsidRPr="008D643A">
              <w:rPr>
                <w:rFonts w:eastAsia="Times New Roman" w:cs="Arial"/>
                <w:lang w:eastAsia="en-AU"/>
              </w:rPr>
              <w:t xml:space="preserve"> infrastructure in partnership with Australian research institutions, organisations and research communities. </w:t>
            </w:r>
            <w:proofErr w:type="spellStart"/>
            <w:r>
              <w:rPr>
                <w:rFonts w:eastAsia="Times New Roman" w:cs="Arial"/>
                <w:lang w:eastAsia="en-AU"/>
              </w:rPr>
              <w:t>NeCTAR’s</w:t>
            </w:r>
            <w:proofErr w:type="spellEnd"/>
            <w:r>
              <w:rPr>
                <w:rFonts w:eastAsia="Times New Roman" w:cs="Arial"/>
                <w:lang w:eastAsia="en-AU"/>
              </w:rPr>
              <w:t xml:space="preserve"> focus is on research infrastructure that enables remote access to national facilities through virtual laboratories, </w:t>
            </w:r>
            <w:proofErr w:type="spellStart"/>
            <w:r>
              <w:rPr>
                <w:rFonts w:eastAsia="Times New Roman" w:cs="Arial"/>
                <w:lang w:eastAsia="en-AU"/>
              </w:rPr>
              <w:t>eResearch</w:t>
            </w:r>
            <w:proofErr w:type="spellEnd"/>
            <w:r>
              <w:rPr>
                <w:rFonts w:eastAsia="Times New Roman" w:cs="Arial"/>
                <w:lang w:eastAsia="en-AU"/>
              </w:rPr>
              <w:t xml:space="preserve"> tools, the Research Cloud and a national Server providing a hosting environment for core national </w:t>
            </w:r>
            <w:proofErr w:type="spellStart"/>
            <w:r>
              <w:rPr>
                <w:rFonts w:eastAsia="Times New Roman" w:cs="Arial"/>
                <w:lang w:eastAsia="en-AU"/>
              </w:rPr>
              <w:t>eResearch</w:t>
            </w:r>
            <w:proofErr w:type="spellEnd"/>
            <w:r>
              <w:rPr>
                <w:rFonts w:eastAsia="Times New Roman" w:cs="Arial"/>
                <w:lang w:eastAsia="en-AU"/>
              </w:rPr>
              <w:t xml:space="preserve"> and research infrastructure services. </w:t>
            </w:r>
          </w:p>
          <w:p w14:paraId="401F2338" w14:textId="77777777" w:rsidR="00575984" w:rsidRPr="008D643A" w:rsidRDefault="00575984" w:rsidP="00C967AA">
            <w:pPr>
              <w:rPr>
                <w:rFonts w:eastAsia="Times New Roman" w:cs="Arial"/>
                <w:b/>
                <w:lang w:eastAsia="en-AU"/>
              </w:rPr>
            </w:pPr>
          </w:p>
        </w:tc>
      </w:tr>
      <w:tr w:rsidR="00575984" w:rsidRPr="008D643A" w14:paraId="3C63BE56" w14:textId="77777777" w:rsidTr="004E2CCC">
        <w:tc>
          <w:tcPr>
            <w:tcW w:w="3397" w:type="dxa"/>
            <w:vMerge/>
          </w:tcPr>
          <w:p w14:paraId="09BF0F78" w14:textId="77777777" w:rsidR="00575984" w:rsidRPr="008D643A" w:rsidRDefault="00575984" w:rsidP="00C967AA">
            <w:pPr>
              <w:rPr>
                <w:rFonts w:eastAsia="Times New Roman" w:cs="Arial"/>
                <w:b/>
                <w:lang w:eastAsia="en-AU"/>
              </w:rPr>
            </w:pPr>
          </w:p>
        </w:tc>
        <w:tc>
          <w:tcPr>
            <w:tcW w:w="10551" w:type="dxa"/>
          </w:tcPr>
          <w:p w14:paraId="01C116C2" w14:textId="77777777" w:rsidR="00575984" w:rsidRDefault="00575984" w:rsidP="00C967AA">
            <w:pPr>
              <w:rPr>
                <w:rFonts w:eastAsia="Times New Roman" w:cs="Arial"/>
                <w:b/>
                <w:lang w:eastAsia="en-AU"/>
              </w:rPr>
            </w:pPr>
            <w:r w:rsidRPr="008D643A">
              <w:rPr>
                <w:rFonts w:eastAsia="Times New Roman" w:cs="Arial"/>
                <w:b/>
                <w:lang w:eastAsia="en-AU"/>
              </w:rPr>
              <w:t>Funding Sources</w:t>
            </w:r>
          </w:p>
          <w:p w14:paraId="6792D1BD" w14:textId="77777777" w:rsidR="00575984" w:rsidRDefault="00575984" w:rsidP="00C967AA">
            <w:pPr>
              <w:rPr>
                <w:rFonts w:eastAsia="Times New Roman" w:cs="Arial"/>
                <w:b/>
                <w:lang w:eastAsia="en-AU"/>
              </w:rPr>
            </w:pPr>
            <w:proofErr w:type="spellStart"/>
            <w:r w:rsidRPr="008D643A">
              <w:rPr>
                <w:rFonts w:eastAsia="Times New Roman" w:cs="Arial"/>
                <w:lang w:eastAsia="en-AU"/>
              </w:rPr>
              <w:t>NeCTAR</w:t>
            </w:r>
            <w:proofErr w:type="spellEnd"/>
            <w:r w:rsidRPr="008D643A">
              <w:rPr>
                <w:rFonts w:eastAsia="Times New Roman" w:cs="Arial"/>
                <w:lang w:eastAsia="en-AU"/>
              </w:rPr>
              <w:t xml:space="preserve"> was established through the Super Science project, financed by the Education Investment Fund. The University of Melbourne has been appointed as the Lead Agent.</w:t>
            </w:r>
          </w:p>
          <w:p w14:paraId="06852186" w14:textId="77777777" w:rsidR="00575984" w:rsidRPr="008D643A" w:rsidRDefault="00575984" w:rsidP="00C967AA">
            <w:pPr>
              <w:rPr>
                <w:rFonts w:eastAsia="Times New Roman" w:cs="Arial"/>
                <w:b/>
                <w:lang w:eastAsia="en-AU"/>
              </w:rPr>
            </w:pPr>
          </w:p>
        </w:tc>
      </w:tr>
      <w:tr w:rsidR="00575984" w:rsidRPr="008D643A" w14:paraId="2FEECDC7" w14:textId="77777777" w:rsidTr="004E2CCC">
        <w:tc>
          <w:tcPr>
            <w:tcW w:w="3397" w:type="dxa"/>
            <w:vMerge/>
          </w:tcPr>
          <w:p w14:paraId="5989CCF8" w14:textId="77777777" w:rsidR="00575984" w:rsidRPr="008D643A" w:rsidRDefault="00575984" w:rsidP="00C967AA">
            <w:pPr>
              <w:rPr>
                <w:rFonts w:eastAsia="Times New Roman" w:cs="Arial"/>
                <w:b/>
                <w:lang w:eastAsia="en-AU"/>
              </w:rPr>
            </w:pPr>
          </w:p>
        </w:tc>
        <w:tc>
          <w:tcPr>
            <w:tcW w:w="10551" w:type="dxa"/>
          </w:tcPr>
          <w:p w14:paraId="16893D3C" w14:textId="77777777" w:rsidR="00575984" w:rsidRDefault="00575984" w:rsidP="00C967AA">
            <w:pPr>
              <w:rPr>
                <w:rFonts w:eastAsia="Times New Roman" w:cs="Arial"/>
                <w:b/>
                <w:lang w:eastAsia="en-AU"/>
              </w:rPr>
            </w:pPr>
            <w:r w:rsidRPr="008D643A">
              <w:rPr>
                <w:rFonts w:eastAsia="Times New Roman" w:cs="Arial"/>
                <w:b/>
                <w:lang w:eastAsia="en-AU"/>
              </w:rPr>
              <w:t>Responsibilities</w:t>
            </w:r>
          </w:p>
          <w:p w14:paraId="29FED2EE" w14:textId="77777777" w:rsidR="00575984" w:rsidRPr="008D643A" w:rsidRDefault="00575984" w:rsidP="00C967AA">
            <w:pPr>
              <w:rPr>
                <w:rFonts w:eastAsia="Times New Roman" w:cs="Arial"/>
                <w:b/>
                <w:lang w:eastAsia="en-AU"/>
              </w:rPr>
            </w:pPr>
            <w:r w:rsidRPr="008D643A">
              <w:rPr>
                <w:rFonts w:eastAsia="Times New Roman" w:cs="Arial"/>
                <w:lang w:eastAsia="en-AU"/>
              </w:rPr>
              <w:t xml:space="preserve">Since August 2011 </w:t>
            </w:r>
            <w:proofErr w:type="spellStart"/>
            <w:r w:rsidRPr="008D643A">
              <w:rPr>
                <w:rFonts w:eastAsia="Times New Roman" w:cs="Arial"/>
                <w:lang w:eastAsia="en-AU"/>
              </w:rPr>
              <w:t>NeCTAR</w:t>
            </w:r>
            <w:proofErr w:type="spellEnd"/>
            <w:r w:rsidRPr="008D643A">
              <w:rPr>
                <w:rFonts w:eastAsia="Times New Roman" w:cs="Arial"/>
                <w:lang w:eastAsia="en-AU"/>
              </w:rPr>
              <w:t xml:space="preserve"> has partnered with Australian research community to develop and operate 11 Virtual Laboratories, 16 </w:t>
            </w:r>
            <w:proofErr w:type="spellStart"/>
            <w:r w:rsidRPr="008D643A">
              <w:rPr>
                <w:rFonts w:eastAsia="Times New Roman" w:cs="Arial"/>
                <w:lang w:eastAsia="en-AU"/>
              </w:rPr>
              <w:t>eResearch</w:t>
            </w:r>
            <w:proofErr w:type="spellEnd"/>
            <w:r w:rsidRPr="008D643A">
              <w:rPr>
                <w:rFonts w:eastAsia="Times New Roman" w:cs="Arial"/>
                <w:lang w:eastAsia="en-AU"/>
              </w:rPr>
              <w:t xml:space="preserve"> Tools providing online access to domain-specific research tools, a National Research Cloud, a National Server.</w:t>
            </w:r>
          </w:p>
        </w:tc>
      </w:tr>
      <w:tr w:rsidR="00575984" w:rsidRPr="008D643A" w14:paraId="44087DBA" w14:textId="77777777" w:rsidTr="004E2CCC">
        <w:tc>
          <w:tcPr>
            <w:tcW w:w="3397" w:type="dxa"/>
            <w:vMerge/>
          </w:tcPr>
          <w:p w14:paraId="7759128C" w14:textId="77777777" w:rsidR="00575984" w:rsidRPr="008D643A" w:rsidRDefault="00575984" w:rsidP="00C967AA">
            <w:pPr>
              <w:rPr>
                <w:rFonts w:eastAsia="Times New Roman" w:cs="Arial"/>
                <w:b/>
                <w:lang w:eastAsia="en-AU"/>
              </w:rPr>
            </w:pPr>
          </w:p>
        </w:tc>
        <w:tc>
          <w:tcPr>
            <w:tcW w:w="10551" w:type="dxa"/>
          </w:tcPr>
          <w:p w14:paraId="2F297B19" w14:textId="77777777" w:rsidR="00575984" w:rsidRPr="008D643A" w:rsidRDefault="00575984" w:rsidP="00C967AA">
            <w:pPr>
              <w:rPr>
                <w:rFonts w:eastAsia="Times New Roman" w:cs="Arial"/>
                <w:b/>
                <w:lang w:eastAsia="en-AU"/>
              </w:rPr>
            </w:pPr>
            <w:r w:rsidRPr="008D643A">
              <w:rPr>
                <w:rFonts w:eastAsia="Times New Roman" w:cs="Arial"/>
                <w:b/>
                <w:lang w:eastAsia="en-AU"/>
              </w:rPr>
              <w:t>Interaction with Macquarie</w:t>
            </w:r>
          </w:p>
          <w:p w14:paraId="656439D5" w14:textId="77777777" w:rsidR="00575984" w:rsidRDefault="00575984" w:rsidP="00C967AA">
            <w:pPr>
              <w:rPr>
                <w:rFonts w:eastAsia="Times New Roman" w:cs="Arial"/>
                <w:lang w:eastAsia="en-AU"/>
              </w:rPr>
            </w:pPr>
            <w:r w:rsidRPr="008D643A">
              <w:rPr>
                <w:rFonts w:eastAsia="Times New Roman" w:cs="Arial"/>
                <w:lang w:eastAsia="en-AU"/>
              </w:rPr>
              <w:t xml:space="preserve">Macquarie University is lead organisation on the </w:t>
            </w:r>
            <w:proofErr w:type="spellStart"/>
            <w:r w:rsidRPr="008D643A">
              <w:rPr>
                <w:rFonts w:eastAsia="Times New Roman" w:cs="Arial"/>
                <w:lang w:eastAsia="en-AU"/>
              </w:rPr>
              <w:t>NeCTAR</w:t>
            </w:r>
            <w:proofErr w:type="spellEnd"/>
            <w:r w:rsidRPr="008D643A">
              <w:rPr>
                <w:rFonts w:eastAsia="Times New Roman" w:cs="Arial"/>
                <w:lang w:eastAsia="en-AU"/>
              </w:rPr>
              <w:t xml:space="preserve"> funded </w:t>
            </w:r>
            <w:proofErr w:type="spellStart"/>
            <w:r w:rsidRPr="008D643A">
              <w:rPr>
                <w:rFonts w:eastAsia="Times New Roman" w:cs="Arial"/>
                <w:lang w:eastAsia="en-AU"/>
              </w:rPr>
              <w:t>UniCarbKB</w:t>
            </w:r>
            <w:proofErr w:type="spellEnd"/>
            <w:r w:rsidRPr="008D643A">
              <w:rPr>
                <w:rFonts w:eastAsia="Times New Roman" w:cs="Arial"/>
                <w:lang w:eastAsia="en-AU"/>
              </w:rPr>
              <w:t xml:space="preserve"> initiative that ‘aims to promote the creation of an online information storage and search platform for </w:t>
            </w:r>
            <w:proofErr w:type="spellStart"/>
            <w:r w:rsidRPr="008D643A">
              <w:rPr>
                <w:rFonts w:eastAsia="Times New Roman" w:cs="Arial"/>
                <w:lang w:eastAsia="en-AU"/>
              </w:rPr>
              <w:t>glycomics</w:t>
            </w:r>
            <w:proofErr w:type="spellEnd"/>
            <w:r w:rsidRPr="008D643A">
              <w:rPr>
                <w:rFonts w:eastAsia="Times New Roman" w:cs="Arial"/>
                <w:lang w:eastAsia="en-AU"/>
              </w:rPr>
              <w:t xml:space="preserve"> and </w:t>
            </w:r>
            <w:proofErr w:type="spellStart"/>
            <w:r w:rsidRPr="008D643A">
              <w:rPr>
                <w:rFonts w:eastAsia="Times New Roman" w:cs="Arial"/>
                <w:lang w:eastAsia="en-AU"/>
              </w:rPr>
              <w:t>glycobiology</w:t>
            </w:r>
            <w:proofErr w:type="spellEnd"/>
            <w:r w:rsidRPr="008D643A">
              <w:rPr>
                <w:rFonts w:eastAsia="Times New Roman" w:cs="Arial"/>
                <w:lang w:eastAsia="en-AU"/>
              </w:rPr>
              <w:t xml:space="preserve"> research. </w:t>
            </w:r>
          </w:p>
          <w:p w14:paraId="510B92B8" w14:textId="77777777" w:rsidR="00575984" w:rsidRPr="008D643A" w:rsidRDefault="00575984" w:rsidP="00C967AA">
            <w:pPr>
              <w:rPr>
                <w:rFonts w:eastAsia="Times New Roman" w:cs="Arial"/>
                <w:lang w:eastAsia="en-AU"/>
              </w:rPr>
            </w:pPr>
          </w:p>
        </w:tc>
      </w:tr>
      <w:tr w:rsidR="00575984" w:rsidRPr="008D643A" w14:paraId="3FDEA9F7" w14:textId="77777777" w:rsidTr="004E2CCC">
        <w:tc>
          <w:tcPr>
            <w:tcW w:w="3397" w:type="dxa"/>
            <w:vMerge w:val="restart"/>
          </w:tcPr>
          <w:p w14:paraId="14CC1D18" w14:textId="77777777" w:rsidR="00575984" w:rsidRPr="008D643A" w:rsidRDefault="00575984" w:rsidP="00C967AA">
            <w:pPr>
              <w:rPr>
                <w:rFonts w:eastAsia="Times New Roman" w:cs="Arial"/>
                <w:b/>
                <w:lang w:eastAsia="en-AU"/>
              </w:rPr>
            </w:pPr>
            <w:r w:rsidRPr="008D643A">
              <w:rPr>
                <w:rFonts w:eastAsia="Times New Roman" w:cs="Arial"/>
                <w:b/>
                <w:lang w:eastAsia="en-AU"/>
              </w:rPr>
              <w:t>Intersect</w:t>
            </w:r>
          </w:p>
        </w:tc>
        <w:tc>
          <w:tcPr>
            <w:tcW w:w="10551" w:type="dxa"/>
          </w:tcPr>
          <w:p w14:paraId="7584D0FF" w14:textId="77777777" w:rsidR="00575984" w:rsidRDefault="00575984" w:rsidP="00C967AA">
            <w:pPr>
              <w:rPr>
                <w:rFonts w:eastAsia="Times New Roman" w:cs="Arial"/>
                <w:b/>
                <w:lang w:eastAsia="en-AU"/>
              </w:rPr>
            </w:pPr>
            <w:r w:rsidRPr="008D643A">
              <w:rPr>
                <w:rFonts w:eastAsia="Times New Roman" w:cs="Arial"/>
                <w:b/>
                <w:lang w:eastAsia="en-AU"/>
              </w:rPr>
              <w:t>Description</w:t>
            </w:r>
          </w:p>
          <w:p w14:paraId="0352B815" w14:textId="77777777" w:rsidR="00575984" w:rsidRDefault="00575984" w:rsidP="00C967AA">
            <w:r>
              <w:t xml:space="preserve">Intersect was established in 2008 and has been the largest full-service </w:t>
            </w:r>
            <w:proofErr w:type="spellStart"/>
            <w:r>
              <w:t>eResearch</w:t>
            </w:r>
            <w:proofErr w:type="spellEnd"/>
            <w:r>
              <w:t xml:space="preserve"> support agency within Australia and the key support provider for NSW universities and other research organisations. The agency provides support at the research planning stage (helping researchers scope advanced IT requirements and advising on advanced IT solutions), the research conduct stage (through high performance computing, cloud computing and hosting services, research data management and </w:t>
            </w:r>
            <w:proofErr w:type="spellStart"/>
            <w:r>
              <w:t>eResearch</w:t>
            </w:r>
            <w:proofErr w:type="spellEnd"/>
            <w:r>
              <w:t xml:space="preserve"> tools), and at post-project stage (through data storage archives). Their service extends to training, consulting and advice, and software engineering.  </w:t>
            </w:r>
          </w:p>
          <w:p w14:paraId="176CB168" w14:textId="77777777" w:rsidR="00575984" w:rsidRPr="008D643A" w:rsidRDefault="00575984" w:rsidP="00C967AA">
            <w:pPr>
              <w:rPr>
                <w:rFonts w:eastAsia="Times New Roman" w:cs="Arial"/>
                <w:b/>
                <w:lang w:eastAsia="en-AU"/>
              </w:rPr>
            </w:pPr>
          </w:p>
        </w:tc>
      </w:tr>
      <w:tr w:rsidR="00575984" w:rsidRPr="008D643A" w14:paraId="318DF504" w14:textId="77777777" w:rsidTr="004E2CCC">
        <w:tc>
          <w:tcPr>
            <w:tcW w:w="3397" w:type="dxa"/>
            <w:vMerge/>
          </w:tcPr>
          <w:p w14:paraId="5C2B48A3" w14:textId="77777777" w:rsidR="00575984" w:rsidRPr="008D643A" w:rsidRDefault="00575984" w:rsidP="00C967AA">
            <w:pPr>
              <w:rPr>
                <w:rFonts w:eastAsia="Times New Roman" w:cs="Arial"/>
                <w:b/>
                <w:lang w:eastAsia="en-AU"/>
              </w:rPr>
            </w:pPr>
          </w:p>
        </w:tc>
        <w:tc>
          <w:tcPr>
            <w:tcW w:w="10551" w:type="dxa"/>
          </w:tcPr>
          <w:p w14:paraId="038E823D" w14:textId="77777777" w:rsidR="00575984" w:rsidRDefault="00575984" w:rsidP="00C967AA">
            <w:pPr>
              <w:rPr>
                <w:rFonts w:eastAsia="Times New Roman" w:cs="Arial"/>
                <w:b/>
                <w:lang w:eastAsia="en-AU"/>
              </w:rPr>
            </w:pPr>
            <w:r w:rsidRPr="008D643A">
              <w:rPr>
                <w:rFonts w:eastAsia="Times New Roman" w:cs="Arial"/>
                <w:b/>
                <w:lang w:eastAsia="en-AU"/>
              </w:rPr>
              <w:t>Funding Sources</w:t>
            </w:r>
          </w:p>
          <w:p w14:paraId="0D271CA7" w14:textId="77777777" w:rsidR="00575984" w:rsidRPr="00B83FCB" w:rsidRDefault="00575984" w:rsidP="00C967AA">
            <w:pPr>
              <w:rPr>
                <w:rFonts w:eastAsia="Times New Roman" w:cs="Arial"/>
                <w:lang w:eastAsia="en-AU"/>
              </w:rPr>
            </w:pPr>
            <w:r w:rsidRPr="00B83FCB">
              <w:rPr>
                <w:rFonts w:eastAsia="Times New Roman" w:cs="Arial"/>
                <w:lang w:eastAsia="en-AU"/>
              </w:rPr>
              <w:t>Member subscription fees</w:t>
            </w:r>
          </w:p>
          <w:p w14:paraId="3082F8E1" w14:textId="77777777" w:rsidR="00575984" w:rsidRDefault="00575984" w:rsidP="00C967AA">
            <w:pPr>
              <w:rPr>
                <w:rFonts w:eastAsia="Times New Roman" w:cs="Arial"/>
                <w:lang w:eastAsia="en-AU"/>
              </w:rPr>
            </w:pPr>
            <w:r w:rsidRPr="00B83FCB">
              <w:rPr>
                <w:rFonts w:eastAsia="Times New Roman" w:cs="Arial"/>
                <w:lang w:eastAsia="en-AU"/>
              </w:rPr>
              <w:lastRenderedPageBreak/>
              <w:t>Engineering income</w:t>
            </w:r>
          </w:p>
          <w:p w14:paraId="2B928AC9" w14:textId="77777777" w:rsidR="00575984" w:rsidRPr="00B83FCB" w:rsidRDefault="00575984" w:rsidP="00C967AA">
            <w:pPr>
              <w:rPr>
                <w:rFonts w:eastAsia="Times New Roman" w:cs="Arial"/>
                <w:lang w:eastAsia="en-AU"/>
              </w:rPr>
            </w:pPr>
            <w:r>
              <w:rPr>
                <w:rFonts w:eastAsia="Times New Roman" w:cs="Arial"/>
                <w:lang w:eastAsia="en-AU"/>
              </w:rPr>
              <w:t>Supported by Commonwealth and State government investments</w:t>
            </w:r>
          </w:p>
          <w:p w14:paraId="2FE2F997" w14:textId="77777777" w:rsidR="00575984" w:rsidRPr="008D643A" w:rsidRDefault="00575984" w:rsidP="00C967AA">
            <w:pPr>
              <w:rPr>
                <w:rFonts w:eastAsia="Times New Roman" w:cs="Arial"/>
                <w:b/>
                <w:lang w:eastAsia="en-AU"/>
              </w:rPr>
            </w:pPr>
          </w:p>
        </w:tc>
      </w:tr>
      <w:tr w:rsidR="00575984" w:rsidRPr="008D643A" w14:paraId="2B250307" w14:textId="77777777" w:rsidTr="004E2CCC">
        <w:tc>
          <w:tcPr>
            <w:tcW w:w="3397" w:type="dxa"/>
            <w:vMerge/>
          </w:tcPr>
          <w:p w14:paraId="2DFD6828" w14:textId="77777777" w:rsidR="00575984" w:rsidRPr="008D643A" w:rsidRDefault="00575984" w:rsidP="00C967AA">
            <w:pPr>
              <w:rPr>
                <w:rFonts w:eastAsia="Times New Roman" w:cs="Arial"/>
                <w:b/>
                <w:lang w:eastAsia="en-AU"/>
              </w:rPr>
            </w:pPr>
          </w:p>
        </w:tc>
        <w:tc>
          <w:tcPr>
            <w:tcW w:w="10551" w:type="dxa"/>
          </w:tcPr>
          <w:p w14:paraId="6D9187DE" w14:textId="77777777" w:rsidR="00575984" w:rsidRDefault="00575984" w:rsidP="00C967AA">
            <w:pPr>
              <w:rPr>
                <w:rFonts w:eastAsia="Times New Roman" w:cs="Arial"/>
                <w:b/>
                <w:lang w:eastAsia="en-AU"/>
              </w:rPr>
            </w:pPr>
            <w:r w:rsidRPr="008D643A">
              <w:rPr>
                <w:rFonts w:eastAsia="Times New Roman" w:cs="Arial"/>
                <w:b/>
                <w:lang w:eastAsia="en-AU"/>
              </w:rPr>
              <w:t>Responsibilities</w:t>
            </w:r>
          </w:p>
          <w:p w14:paraId="0316387A" w14:textId="77777777" w:rsidR="00575984" w:rsidRDefault="00575984" w:rsidP="00C967AA">
            <w:r>
              <w:t xml:space="preserve">Training, consulting and advice, and software engineering. </w:t>
            </w:r>
          </w:p>
          <w:p w14:paraId="0681584C" w14:textId="77777777" w:rsidR="00575984" w:rsidRPr="00077AC3" w:rsidRDefault="00575984" w:rsidP="00C967AA">
            <w:r>
              <w:t xml:space="preserve"> </w:t>
            </w:r>
          </w:p>
        </w:tc>
      </w:tr>
      <w:tr w:rsidR="00575984" w:rsidRPr="008D643A" w14:paraId="7FB780DF" w14:textId="77777777" w:rsidTr="004E2CCC">
        <w:tc>
          <w:tcPr>
            <w:tcW w:w="3397" w:type="dxa"/>
            <w:vMerge/>
          </w:tcPr>
          <w:p w14:paraId="45F1DC7B" w14:textId="77777777" w:rsidR="00575984" w:rsidRPr="008D643A" w:rsidRDefault="00575984" w:rsidP="00C967AA">
            <w:pPr>
              <w:rPr>
                <w:rFonts w:eastAsia="Times New Roman" w:cs="Arial"/>
                <w:b/>
                <w:lang w:eastAsia="en-AU"/>
              </w:rPr>
            </w:pPr>
          </w:p>
        </w:tc>
        <w:tc>
          <w:tcPr>
            <w:tcW w:w="10551" w:type="dxa"/>
          </w:tcPr>
          <w:p w14:paraId="6AA42712" w14:textId="77777777" w:rsidR="00575984" w:rsidRDefault="00575984" w:rsidP="00C967AA">
            <w:pPr>
              <w:rPr>
                <w:rFonts w:eastAsia="Times New Roman" w:cs="Arial"/>
                <w:b/>
                <w:lang w:eastAsia="en-AU"/>
              </w:rPr>
            </w:pPr>
            <w:r w:rsidRPr="008D643A">
              <w:rPr>
                <w:rFonts w:eastAsia="Times New Roman" w:cs="Arial"/>
                <w:b/>
                <w:lang w:eastAsia="en-AU"/>
              </w:rPr>
              <w:t>Interaction with Macquarie</w:t>
            </w:r>
          </w:p>
          <w:p w14:paraId="367BD187" w14:textId="77777777" w:rsidR="00575984" w:rsidRDefault="00575984" w:rsidP="00C967AA">
            <w:r>
              <w:t xml:space="preserve">Macquarie has recently discontinued its membership of Intersect and other NSW Universities are taking a similar direction. Past projects with Intersect include the Papyri collection and the Department of Computing’s </w:t>
            </w:r>
            <w:proofErr w:type="spellStart"/>
            <w:r>
              <w:t>Alveo</w:t>
            </w:r>
            <w:proofErr w:type="spellEnd"/>
            <w:r>
              <w:t xml:space="preserve"> virtual lab for Human Communication Science, led by the University of Western Sydney. Research teams who also used Intersect to develop </w:t>
            </w:r>
            <w:proofErr w:type="spellStart"/>
            <w:r>
              <w:t>eResearch</w:t>
            </w:r>
            <w:proofErr w:type="spellEnd"/>
            <w:r>
              <w:t xml:space="preserve"> tools (and continued to utilise Intersect support post development) are the Federated Archaeological Information Management Systems (FAIMS) team, and the Australian Institute of Health Innovation in the development of WOMBAT (Work Observation Method by Activity and Timing).</w:t>
            </w:r>
          </w:p>
          <w:p w14:paraId="472208C6" w14:textId="77777777" w:rsidR="00575984" w:rsidRPr="008D643A" w:rsidRDefault="00575984" w:rsidP="00C967AA">
            <w:pPr>
              <w:rPr>
                <w:rFonts w:eastAsia="Times New Roman" w:cs="Arial"/>
                <w:b/>
                <w:lang w:eastAsia="en-AU"/>
              </w:rPr>
            </w:pPr>
          </w:p>
        </w:tc>
      </w:tr>
    </w:tbl>
    <w:p w14:paraId="3DD7EF43" w14:textId="77777777" w:rsidR="00826214" w:rsidRPr="008D643A" w:rsidRDefault="00826214" w:rsidP="00826214">
      <w:pPr>
        <w:spacing w:after="0" w:line="240" w:lineRule="auto"/>
      </w:pPr>
    </w:p>
    <w:p w14:paraId="33BD0E56" w14:textId="76DBDB8C" w:rsidR="00826214" w:rsidRDefault="00826214" w:rsidP="00F77AE4"/>
    <w:p w14:paraId="2272108E" w14:textId="054CE451" w:rsidR="00826214" w:rsidRPr="001F7AAA" w:rsidRDefault="001F7AAA" w:rsidP="00F77AE4">
      <w:pPr>
        <w:sectPr w:rsidR="00826214" w:rsidRPr="001F7AAA" w:rsidSect="007247B8">
          <w:pgSz w:w="16838" w:h="11906" w:orient="landscape"/>
          <w:pgMar w:top="1440" w:right="1440" w:bottom="1440" w:left="1440" w:header="708" w:footer="708" w:gutter="0"/>
          <w:cols w:space="708"/>
          <w:docGrid w:linePitch="360"/>
        </w:sectPr>
      </w:pPr>
      <w:r>
        <w:br w:type="page"/>
      </w:r>
    </w:p>
    <w:p w14:paraId="514E6BFD" w14:textId="71DF99D1" w:rsidR="00037D52" w:rsidRPr="008A12D3" w:rsidRDefault="001F7AAA" w:rsidP="00F77AE4">
      <w:pPr>
        <w:rPr>
          <w:b/>
          <w:sz w:val="28"/>
          <w:szCs w:val="28"/>
        </w:rPr>
      </w:pPr>
      <w:r w:rsidRPr="008A12D3">
        <w:rPr>
          <w:b/>
          <w:sz w:val="28"/>
          <w:szCs w:val="28"/>
        </w:rPr>
        <w:lastRenderedPageBreak/>
        <w:t>APPENDIX 2: SUMMARY OF MACQUARIE UNIVERSITY E-RESEARCH INVOLVEMENT AND ACTIVITY</w:t>
      </w:r>
    </w:p>
    <w:p w14:paraId="2A1CCF14" w14:textId="77777777" w:rsidR="001F7AAA" w:rsidRDefault="001F7AAA" w:rsidP="00037D52">
      <w:pPr>
        <w:spacing w:after="0" w:line="240" w:lineRule="auto"/>
        <w:rPr>
          <w:b/>
        </w:rPr>
      </w:pPr>
    </w:p>
    <w:p w14:paraId="71275FCE" w14:textId="77777777" w:rsidR="00037D52" w:rsidRDefault="00037D52" w:rsidP="00037D52">
      <w:pPr>
        <w:spacing w:after="0" w:line="240" w:lineRule="auto"/>
        <w:rPr>
          <w:b/>
        </w:rPr>
      </w:pPr>
      <w:r>
        <w:rPr>
          <w:b/>
        </w:rPr>
        <w:t>ANDS Seeding the Commons</w:t>
      </w:r>
    </w:p>
    <w:tbl>
      <w:tblPr>
        <w:tblStyle w:val="TableGrid"/>
        <w:tblW w:w="0" w:type="auto"/>
        <w:tblLook w:val="04A0" w:firstRow="1" w:lastRow="0" w:firstColumn="1" w:lastColumn="0" w:noHBand="0" w:noVBand="1"/>
      </w:tblPr>
      <w:tblGrid>
        <w:gridCol w:w="4508"/>
        <w:gridCol w:w="4508"/>
      </w:tblGrid>
      <w:tr w:rsidR="00037D52" w14:paraId="68901F6D" w14:textId="77777777" w:rsidTr="00835856">
        <w:tc>
          <w:tcPr>
            <w:tcW w:w="4508" w:type="dxa"/>
            <w:tcBorders>
              <w:top w:val="single" w:sz="4" w:space="0" w:color="auto"/>
              <w:left w:val="single" w:sz="4" w:space="0" w:color="auto"/>
              <w:bottom w:val="single" w:sz="4" w:space="0" w:color="auto"/>
              <w:right w:val="single" w:sz="4" w:space="0" w:color="auto"/>
            </w:tcBorders>
            <w:hideMark/>
          </w:tcPr>
          <w:p w14:paraId="0E935ED2" w14:textId="2D2E88F3" w:rsidR="00037D52" w:rsidRDefault="00037D52" w:rsidP="00835856">
            <w:r>
              <w:t xml:space="preserve">Grant </w:t>
            </w:r>
            <w:proofErr w:type="spellStart"/>
            <w:r>
              <w:t>Sayer</w:t>
            </w:r>
            <w:proofErr w:type="spellEnd"/>
            <w:r>
              <w:t>, I</w:t>
            </w:r>
            <w:r w:rsidR="00D65ACA">
              <w:t xml:space="preserve">nformation </w:t>
            </w:r>
            <w:r>
              <w:t>T</w:t>
            </w:r>
            <w:r w:rsidR="00D65ACA">
              <w:t>echnology</w:t>
            </w:r>
          </w:p>
        </w:tc>
        <w:tc>
          <w:tcPr>
            <w:tcW w:w="4508" w:type="dxa"/>
            <w:tcBorders>
              <w:top w:val="single" w:sz="4" w:space="0" w:color="auto"/>
              <w:left w:val="single" w:sz="4" w:space="0" w:color="auto"/>
              <w:bottom w:val="single" w:sz="4" w:space="0" w:color="auto"/>
              <w:right w:val="single" w:sz="4" w:space="0" w:color="auto"/>
            </w:tcBorders>
            <w:hideMark/>
          </w:tcPr>
          <w:p w14:paraId="46A950DE" w14:textId="77777777" w:rsidR="00037D52" w:rsidRDefault="00037D52" w:rsidP="00835856">
            <w:r>
              <w:t>Project leader and steering committee</w:t>
            </w:r>
          </w:p>
        </w:tc>
      </w:tr>
      <w:tr w:rsidR="00037D52" w14:paraId="1B6BD34A" w14:textId="77777777" w:rsidTr="00835856">
        <w:tc>
          <w:tcPr>
            <w:tcW w:w="4508" w:type="dxa"/>
            <w:tcBorders>
              <w:top w:val="single" w:sz="4" w:space="0" w:color="auto"/>
              <w:left w:val="single" w:sz="4" w:space="0" w:color="auto"/>
              <w:bottom w:val="single" w:sz="4" w:space="0" w:color="auto"/>
              <w:right w:val="single" w:sz="4" w:space="0" w:color="auto"/>
            </w:tcBorders>
          </w:tcPr>
          <w:p w14:paraId="7C127D13" w14:textId="46644CDE" w:rsidR="00037D52" w:rsidRDefault="00037D52" w:rsidP="00835856">
            <w:r>
              <w:t xml:space="preserve">Vladimir </w:t>
            </w:r>
            <w:proofErr w:type="spellStart"/>
            <w:r>
              <w:t>Bubalo</w:t>
            </w:r>
            <w:proofErr w:type="spellEnd"/>
            <w:r>
              <w:t>, Library</w:t>
            </w:r>
          </w:p>
        </w:tc>
        <w:tc>
          <w:tcPr>
            <w:tcW w:w="4508" w:type="dxa"/>
            <w:tcBorders>
              <w:top w:val="single" w:sz="4" w:space="0" w:color="auto"/>
              <w:left w:val="single" w:sz="4" w:space="0" w:color="auto"/>
              <w:bottom w:val="single" w:sz="4" w:space="0" w:color="auto"/>
              <w:right w:val="single" w:sz="4" w:space="0" w:color="auto"/>
            </w:tcBorders>
          </w:tcPr>
          <w:p w14:paraId="6C5531FE" w14:textId="77777777" w:rsidR="00037D52" w:rsidRDefault="00037D52" w:rsidP="00835856">
            <w:r>
              <w:t>Project Team</w:t>
            </w:r>
          </w:p>
        </w:tc>
      </w:tr>
      <w:tr w:rsidR="00037D52" w14:paraId="1599AD4D" w14:textId="77777777" w:rsidTr="00835856">
        <w:tc>
          <w:tcPr>
            <w:tcW w:w="4508" w:type="dxa"/>
            <w:tcBorders>
              <w:top w:val="single" w:sz="4" w:space="0" w:color="auto"/>
              <w:left w:val="single" w:sz="4" w:space="0" w:color="auto"/>
              <w:bottom w:val="single" w:sz="4" w:space="0" w:color="auto"/>
              <w:right w:val="single" w:sz="4" w:space="0" w:color="auto"/>
            </w:tcBorders>
          </w:tcPr>
          <w:p w14:paraId="129574A9" w14:textId="1DBA2452" w:rsidR="00037D52" w:rsidRDefault="00037D52" w:rsidP="00835856">
            <w:r>
              <w:t>Maureen Kattau, Library</w:t>
            </w:r>
          </w:p>
        </w:tc>
        <w:tc>
          <w:tcPr>
            <w:tcW w:w="4508" w:type="dxa"/>
            <w:tcBorders>
              <w:top w:val="single" w:sz="4" w:space="0" w:color="auto"/>
              <w:left w:val="single" w:sz="4" w:space="0" w:color="auto"/>
              <w:bottom w:val="single" w:sz="4" w:space="0" w:color="auto"/>
              <w:right w:val="single" w:sz="4" w:space="0" w:color="auto"/>
            </w:tcBorders>
          </w:tcPr>
          <w:p w14:paraId="0AA92268" w14:textId="77777777" w:rsidR="00037D52" w:rsidRDefault="00037D52" w:rsidP="00835856">
            <w:r>
              <w:t>Project Team</w:t>
            </w:r>
          </w:p>
        </w:tc>
      </w:tr>
      <w:tr w:rsidR="00037D52" w14:paraId="2B10F710" w14:textId="77777777" w:rsidTr="00835856">
        <w:tc>
          <w:tcPr>
            <w:tcW w:w="4508" w:type="dxa"/>
            <w:tcBorders>
              <w:top w:val="single" w:sz="4" w:space="0" w:color="auto"/>
              <w:left w:val="single" w:sz="4" w:space="0" w:color="auto"/>
              <w:bottom w:val="single" w:sz="4" w:space="0" w:color="auto"/>
              <w:right w:val="single" w:sz="4" w:space="0" w:color="auto"/>
            </w:tcBorders>
            <w:hideMark/>
          </w:tcPr>
          <w:p w14:paraId="439A1B52" w14:textId="7D9D70CB" w:rsidR="00037D52" w:rsidRDefault="00037D52" w:rsidP="00D65ACA">
            <w:proofErr w:type="spellStart"/>
            <w:r>
              <w:t>Semira</w:t>
            </w:r>
            <w:proofErr w:type="spellEnd"/>
            <w:r>
              <w:t xml:space="preserve"> </w:t>
            </w:r>
            <w:proofErr w:type="spellStart"/>
            <w:r>
              <w:t>Dautovic</w:t>
            </w:r>
            <w:proofErr w:type="spellEnd"/>
            <w:r>
              <w:t>, Research Office</w:t>
            </w:r>
          </w:p>
        </w:tc>
        <w:tc>
          <w:tcPr>
            <w:tcW w:w="4508" w:type="dxa"/>
            <w:tcBorders>
              <w:top w:val="single" w:sz="4" w:space="0" w:color="auto"/>
              <w:left w:val="single" w:sz="4" w:space="0" w:color="auto"/>
              <w:bottom w:val="single" w:sz="4" w:space="0" w:color="auto"/>
              <w:right w:val="single" w:sz="4" w:space="0" w:color="auto"/>
            </w:tcBorders>
            <w:hideMark/>
          </w:tcPr>
          <w:p w14:paraId="0A16E30C" w14:textId="77777777" w:rsidR="00037D52" w:rsidRDefault="00037D52" w:rsidP="00835856">
            <w:r>
              <w:t>Project Team</w:t>
            </w:r>
          </w:p>
        </w:tc>
      </w:tr>
      <w:tr w:rsidR="00037D52" w14:paraId="72A02E63" w14:textId="77777777" w:rsidTr="00835856">
        <w:tc>
          <w:tcPr>
            <w:tcW w:w="4508" w:type="dxa"/>
            <w:tcBorders>
              <w:top w:val="single" w:sz="4" w:space="0" w:color="auto"/>
              <w:left w:val="single" w:sz="4" w:space="0" w:color="auto"/>
              <w:bottom w:val="single" w:sz="4" w:space="0" w:color="auto"/>
              <w:right w:val="single" w:sz="4" w:space="0" w:color="auto"/>
            </w:tcBorders>
          </w:tcPr>
          <w:p w14:paraId="44E2E107" w14:textId="77777777" w:rsidR="00037D52" w:rsidRDefault="00037D52" w:rsidP="00835856">
            <w:r>
              <w:t>Gill Ellis, Faculty of Arts</w:t>
            </w:r>
          </w:p>
        </w:tc>
        <w:tc>
          <w:tcPr>
            <w:tcW w:w="4508" w:type="dxa"/>
            <w:tcBorders>
              <w:top w:val="single" w:sz="4" w:space="0" w:color="auto"/>
              <w:left w:val="single" w:sz="4" w:space="0" w:color="auto"/>
              <w:bottom w:val="single" w:sz="4" w:space="0" w:color="auto"/>
              <w:right w:val="single" w:sz="4" w:space="0" w:color="auto"/>
            </w:tcBorders>
          </w:tcPr>
          <w:p w14:paraId="4EDF9692" w14:textId="77777777" w:rsidR="00037D52" w:rsidRDefault="00037D52" w:rsidP="00835856">
            <w:r>
              <w:t>Project Team</w:t>
            </w:r>
          </w:p>
        </w:tc>
      </w:tr>
      <w:tr w:rsidR="00037D52" w14:paraId="5F7B0359" w14:textId="77777777" w:rsidTr="00835856">
        <w:tc>
          <w:tcPr>
            <w:tcW w:w="4508" w:type="dxa"/>
            <w:tcBorders>
              <w:top w:val="single" w:sz="4" w:space="0" w:color="auto"/>
              <w:left w:val="single" w:sz="4" w:space="0" w:color="auto"/>
              <w:bottom w:val="single" w:sz="4" w:space="0" w:color="auto"/>
              <w:right w:val="single" w:sz="4" w:space="0" w:color="auto"/>
            </w:tcBorders>
          </w:tcPr>
          <w:p w14:paraId="06207385" w14:textId="77777777" w:rsidR="00037D52" w:rsidRDefault="00037D52" w:rsidP="00835856">
            <w:r>
              <w:t>Kerry Todd-Smith, Faculty of Business and Economics</w:t>
            </w:r>
          </w:p>
        </w:tc>
        <w:tc>
          <w:tcPr>
            <w:tcW w:w="4508" w:type="dxa"/>
            <w:tcBorders>
              <w:top w:val="single" w:sz="4" w:space="0" w:color="auto"/>
              <w:left w:val="single" w:sz="4" w:space="0" w:color="auto"/>
              <w:bottom w:val="single" w:sz="4" w:space="0" w:color="auto"/>
              <w:right w:val="single" w:sz="4" w:space="0" w:color="auto"/>
            </w:tcBorders>
          </w:tcPr>
          <w:p w14:paraId="25FC69FE" w14:textId="77777777" w:rsidR="00037D52" w:rsidRDefault="00037D52" w:rsidP="00835856">
            <w:r>
              <w:t>Project Team</w:t>
            </w:r>
          </w:p>
        </w:tc>
      </w:tr>
      <w:tr w:rsidR="00037D52" w14:paraId="227CFF56" w14:textId="77777777" w:rsidTr="00835856">
        <w:tc>
          <w:tcPr>
            <w:tcW w:w="4508" w:type="dxa"/>
            <w:tcBorders>
              <w:top w:val="single" w:sz="4" w:space="0" w:color="auto"/>
              <w:left w:val="single" w:sz="4" w:space="0" w:color="auto"/>
              <w:bottom w:val="single" w:sz="4" w:space="0" w:color="auto"/>
              <w:right w:val="single" w:sz="4" w:space="0" w:color="auto"/>
            </w:tcBorders>
          </w:tcPr>
          <w:p w14:paraId="0D3C5184" w14:textId="77777777" w:rsidR="00037D52" w:rsidRDefault="00037D52" w:rsidP="00835856">
            <w:r>
              <w:t>Josephine Morton, Library</w:t>
            </w:r>
          </w:p>
        </w:tc>
        <w:tc>
          <w:tcPr>
            <w:tcW w:w="4508" w:type="dxa"/>
            <w:tcBorders>
              <w:top w:val="single" w:sz="4" w:space="0" w:color="auto"/>
              <w:left w:val="single" w:sz="4" w:space="0" w:color="auto"/>
              <w:bottom w:val="single" w:sz="4" w:space="0" w:color="auto"/>
              <w:right w:val="single" w:sz="4" w:space="0" w:color="auto"/>
            </w:tcBorders>
          </w:tcPr>
          <w:p w14:paraId="5E0FE2CF" w14:textId="77777777" w:rsidR="00037D52" w:rsidRDefault="00037D52" w:rsidP="00835856">
            <w:r>
              <w:t>Researcher Interviews</w:t>
            </w:r>
          </w:p>
        </w:tc>
      </w:tr>
      <w:tr w:rsidR="00037D52" w14:paraId="757639D3" w14:textId="77777777" w:rsidTr="00835856">
        <w:tc>
          <w:tcPr>
            <w:tcW w:w="4508" w:type="dxa"/>
            <w:tcBorders>
              <w:top w:val="single" w:sz="4" w:space="0" w:color="auto"/>
              <w:left w:val="single" w:sz="4" w:space="0" w:color="auto"/>
              <w:bottom w:val="single" w:sz="4" w:space="0" w:color="auto"/>
              <w:right w:val="single" w:sz="4" w:space="0" w:color="auto"/>
            </w:tcBorders>
          </w:tcPr>
          <w:p w14:paraId="305C3B71" w14:textId="6D48A2D3" w:rsidR="00037D52" w:rsidRDefault="00D65ACA" w:rsidP="00835856">
            <w:r>
              <w:t xml:space="preserve">Professor </w:t>
            </w:r>
            <w:r w:rsidR="00037D52">
              <w:t>Jim Piper, DVCR</w:t>
            </w:r>
          </w:p>
        </w:tc>
        <w:tc>
          <w:tcPr>
            <w:tcW w:w="4508" w:type="dxa"/>
            <w:tcBorders>
              <w:top w:val="single" w:sz="4" w:space="0" w:color="auto"/>
              <w:left w:val="single" w:sz="4" w:space="0" w:color="auto"/>
              <w:bottom w:val="single" w:sz="4" w:space="0" w:color="auto"/>
              <w:right w:val="single" w:sz="4" w:space="0" w:color="auto"/>
            </w:tcBorders>
          </w:tcPr>
          <w:p w14:paraId="5D61368A" w14:textId="77777777" w:rsidR="00037D52" w:rsidRDefault="00037D52" w:rsidP="00835856">
            <w:r>
              <w:t xml:space="preserve">Project Sponsor </w:t>
            </w:r>
          </w:p>
        </w:tc>
      </w:tr>
      <w:tr w:rsidR="00037D52" w14:paraId="51636711" w14:textId="77777777" w:rsidTr="00835856">
        <w:tc>
          <w:tcPr>
            <w:tcW w:w="4508" w:type="dxa"/>
            <w:tcBorders>
              <w:top w:val="single" w:sz="4" w:space="0" w:color="auto"/>
              <w:left w:val="single" w:sz="4" w:space="0" w:color="auto"/>
              <w:bottom w:val="single" w:sz="4" w:space="0" w:color="auto"/>
              <w:right w:val="single" w:sz="4" w:space="0" w:color="auto"/>
            </w:tcBorders>
            <w:hideMark/>
          </w:tcPr>
          <w:p w14:paraId="539550DB" w14:textId="77777777" w:rsidR="00037D52" w:rsidRDefault="00037D52" w:rsidP="00835856">
            <w:pPr>
              <w:rPr>
                <w:b/>
              </w:rPr>
            </w:pPr>
            <w:r>
              <w:t>Fiona Burton, Library</w:t>
            </w:r>
          </w:p>
        </w:tc>
        <w:tc>
          <w:tcPr>
            <w:tcW w:w="4508" w:type="dxa"/>
            <w:tcBorders>
              <w:top w:val="single" w:sz="4" w:space="0" w:color="auto"/>
              <w:left w:val="single" w:sz="4" w:space="0" w:color="auto"/>
              <w:bottom w:val="single" w:sz="4" w:space="0" w:color="auto"/>
              <w:right w:val="single" w:sz="4" w:space="0" w:color="auto"/>
            </w:tcBorders>
            <w:hideMark/>
          </w:tcPr>
          <w:p w14:paraId="224BCF7B" w14:textId="77777777" w:rsidR="00037D52" w:rsidRDefault="00037D52" w:rsidP="00835856">
            <w:r>
              <w:t>Steering Committee</w:t>
            </w:r>
          </w:p>
        </w:tc>
      </w:tr>
      <w:tr w:rsidR="00037D52" w14:paraId="38AFCDDD" w14:textId="77777777" w:rsidTr="00835856">
        <w:tc>
          <w:tcPr>
            <w:tcW w:w="4508" w:type="dxa"/>
            <w:tcBorders>
              <w:top w:val="single" w:sz="4" w:space="0" w:color="auto"/>
              <w:left w:val="single" w:sz="4" w:space="0" w:color="auto"/>
              <w:bottom w:val="single" w:sz="4" w:space="0" w:color="auto"/>
              <w:right w:val="single" w:sz="4" w:space="0" w:color="auto"/>
            </w:tcBorders>
            <w:hideMark/>
          </w:tcPr>
          <w:p w14:paraId="6D75D8A8" w14:textId="4F42B641" w:rsidR="00037D52" w:rsidRDefault="00037D52" w:rsidP="00835856">
            <w:pPr>
              <w:rPr>
                <w:b/>
              </w:rPr>
            </w:pPr>
            <w:r>
              <w:t>Tori Hocking, DVCR</w:t>
            </w:r>
            <w:r w:rsidR="00D65ACA">
              <w:t xml:space="preserve"> Office</w:t>
            </w:r>
          </w:p>
        </w:tc>
        <w:tc>
          <w:tcPr>
            <w:tcW w:w="4508" w:type="dxa"/>
            <w:tcBorders>
              <w:top w:val="single" w:sz="4" w:space="0" w:color="auto"/>
              <w:left w:val="single" w:sz="4" w:space="0" w:color="auto"/>
              <w:bottom w:val="single" w:sz="4" w:space="0" w:color="auto"/>
              <w:right w:val="single" w:sz="4" w:space="0" w:color="auto"/>
            </w:tcBorders>
            <w:hideMark/>
          </w:tcPr>
          <w:p w14:paraId="5D058AEF" w14:textId="77777777" w:rsidR="00037D52" w:rsidRDefault="00037D52" w:rsidP="00835856">
            <w:pPr>
              <w:rPr>
                <w:b/>
              </w:rPr>
            </w:pPr>
            <w:r>
              <w:t>Steering Committee</w:t>
            </w:r>
          </w:p>
        </w:tc>
      </w:tr>
      <w:tr w:rsidR="00037D52" w14:paraId="26640E2B" w14:textId="77777777" w:rsidTr="00835856">
        <w:tc>
          <w:tcPr>
            <w:tcW w:w="4508" w:type="dxa"/>
            <w:tcBorders>
              <w:top w:val="single" w:sz="4" w:space="0" w:color="auto"/>
              <w:left w:val="single" w:sz="4" w:space="0" w:color="auto"/>
              <w:bottom w:val="single" w:sz="4" w:space="0" w:color="auto"/>
              <w:right w:val="single" w:sz="4" w:space="0" w:color="auto"/>
            </w:tcBorders>
            <w:hideMark/>
          </w:tcPr>
          <w:p w14:paraId="4B79655C" w14:textId="77777777" w:rsidR="00037D52" w:rsidRDefault="00037D52" w:rsidP="00835856">
            <w:pPr>
              <w:rPr>
                <w:b/>
              </w:rPr>
            </w:pPr>
            <w:r>
              <w:t>Louise Fleck, Research Office</w:t>
            </w:r>
          </w:p>
        </w:tc>
        <w:tc>
          <w:tcPr>
            <w:tcW w:w="4508" w:type="dxa"/>
            <w:tcBorders>
              <w:top w:val="single" w:sz="4" w:space="0" w:color="auto"/>
              <w:left w:val="single" w:sz="4" w:space="0" w:color="auto"/>
              <w:bottom w:val="single" w:sz="4" w:space="0" w:color="auto"/>
              <w:right w:val="single" w:sz="4" w:space="0" w:color="auto"/>
            </w:tcBorders>
            <w:hideMark/>
          </w:tcPr>
          <w:p w14:paraId="0B325E9B" w14:textId="77777777" w:rsidR="00037D52" w:rsidRDefault="00037D52" w:rsidP="00835856">
            <w:pPr>
              <w:rPr>
                <w:b/>
              </w:rPr>
            </w:pPr>
            <w:r>
              <w:t>Steering Committee</w:t>
            </w:r>
          </w:p>
        </w:tc>
      </w:tr>
      <w:tr w:rsidR="00037D52" w14:paraId="08E62752" w14:textId="77777777" w:rsidTr="00835856">
        <w:tc>
          <w:tcPr>
            <w:tcW w:w="4508" w:type="dxa"/>
            <w:tcBorders>
              <w:top w:val="single" w:sz="4" w:space="0" w:color="auto"/>
              <w:left w:val="single" w:sz="4" w:space="0" w:color="auto"/>
              <w:bottom w:val="single" w:sz="4" w:space="0" w:color="auto"/>
              <w:right w:val="single" w:sz="4" w:space="0" w:color="auto"/>
            </w:tcBorders>
            <w:hideMark/>
          </w:tcPr>
          <w:p w14:paraId="67804164" w14:textId="2F555E4F" w:rsidR="00037D52" w:rsidRDefault="00D65ACA" w:rsidP="00835856">
            <w:pPr>
              <w:rPr>
                <w:b/>
              </w:rPr>
            </w:pPr>
            <w:r>
              <w:t xml:space="preserve">Professor </w:t>
            </w:r>
            <w:r w:rsidR="00037D52">
              <w:t>Peter Nelson, Faculties</w:t>
            </w:r>
          </w:p>
        </w:tc>
        <w:tc>
          <w:tcPr>
            <w:tcW w:w="4508" w:type="dxa"/>
            <w:tcBorders>
              <w:top w:val="single" w:sz="4" w:space="0" w:color="auto"/>
              <w:left w:val="single" w:sz="4" w:space="0" w:color="auto"/>
              <w:bottom w:val="single" w:sz="4" w:space="0" w:color="auto"/>
              <w:right w:val="single" w:sz="4" w:space="0" w:color="auto"/>
            </w:tcBorders>
            <w:hideMark/>
          </w:tcPr>
          <w:p w14:paraId="3E5974E4" w14:textId="77777777" w:rsidR="00037D52" w:rsidRDefault="00037D52" w:rsidP="00835856">
            <w:pPr>
              <w:rPr>
                <w:b/>
              </w:rPr>
            </w:pPr>
            <w:r>
              <w:t>Steering Committee</w:t>
            </w:r>
          </w:p>
        </w:tc>
      </w:tr>
      <w:tr w:rsidR="00037D52" w14:paraId="2004FB4B" w14:textId="77777777" w:rsidTr="00835856">
        <w:tc>
          <w:tcPr>
            <w:tcW w:w="4508" w:type="dxa"/>
            <w:tcBorders>
              <w:top w:val="single" w:sz="4" w:space="0" w:color="auto"/>
              <w:left w:val="single" w:sz="4" w:space="0" w:color="auto"/>
              <w:bottom w:val="single" w:sz="4" w:space="0" w:color="auto"/>
              <w:right w:val="single" w:sz="4" w:space="0" w:color="auto"/>
            </w:tcBorders>
            <w:hideMark/>
          </w:tcPr>
          <w:p w14:paraId="007F3C20" w14:textId="790FBAA9" w:rsidR="00037D52" w:rsidRDefault="00D65ACA" w:rsidP="00835856">
            <w:r>
              <w:t xml:space="preserve">Professor </w:t>
            </w:r>
            <w:r w:rsidR="00037D52">
              <w:t>Mark Wiggins, Faculties</w:t>
            </w:r>
          </w:p>
        </w:tc>
        <w:tc>
          <w:tcPr>
            <w:tcW w:w="4508" w:type="dxa"/>
            <w:tcBorders>
              <w:top w:val="single" w:sz="4" w:space="0" w:color="auto"/>
              <w:left w:val="single" w:sz="4" w:space="0" w:color="auto"/>
              <w:bottom w:val="single" w:sz="4" w:space="0" w:color="auto"/>
              <w:right w:val="single" w:sz="4" w:space="0" w:color="auto"/>
            </w:tcBorders>
            <w:hideMark/>
          </w:tcPr>
          <w:p w14:paraId="2C32481B" w14:textId="77777777" w:rsidR="00037D52" w:rsidRDefault="00037D52" w:rsidP="00835856">
            <w:r>
              <w:t>Steering Committee</w:t>
            </w:r>
          </w:p>
        </w:tc>
      </w:tr>
      <w:tr w:rsidR="00037D52" w14:paraId="67F1EC6B" w14:textId="77777777" w:rsidTr="00835856">
        <w:tc>
          <w:tcPr>
            <w:tcW w:w="4508" w:type="dxa"/>
            <w:tcBorders>
              <w:top w:val="single" w:sz="4" w:space="0" w:color="auto"/>
              <w:left w:val="single" w:sz="4" w:space="0" w:color="auto"/>
              <w:bottom w:val="single" w:sz="4" w:space="0" w:color="auto"/>
              <w:right w:val="single" w:sz="4" w:space="0" w:color="auto"/>
            </w:tcBorders>
          </w:tcPr>
          <w:p w14:paraId="7A293629" w14:textId="1F8769FE" w:rsidR="00037D52" w:rsidRDefault="00037D52" w:rsidP="008E50EE">
            <w:r>
              <w:t>Luc Small, Intersect</w:t>
            </w:r>
          </w:p>
        </w:tc>
        <w:tc>
          <w:tcPr>
            <w:tcW w:w="4508" w:type="dxa"/>
            <w:tcBorders>
              <w:top w:val="single" w:sz="4" w:space="0" w:color="auto"/>
              <w:left w:val="single" w:sz="4" w:space="0" w:color="auto"/>
              <w:bottom w:val="single" w:sz="4" w:space="0" w:color="auto"/>
              <w:right w:val="single" w:sz="4" w:space="0" w:color="auto"/>
            </w:tcBorders>
          </w:tcPr>
          <w:p w14:paraId="1A0FB726" w14:textId="77777777" w:rsidR="00037D52" w:rsidRDefault="00037D52" w:rsidP="00835856">
            <w:r>
              <w:t>Intersect Support</w:t>
            </w:r>
          </w:p>
        </w:tc>
      </w:tr>
      <w:tr w:rsidR="008E50EE" w14:paraId="005AF37B" w14:textId="77777777" w:rsidTr="00835856">
        <w:tc>
          <w:tcPr>
            <w:tcW w:w="4508" w:type="dxa"/>
            <w:tcBorders>
              <w:top w:val="single" w:sz="4" w:space="0" w:color="auto"/>
              <w:left w:val="single" w:sz="4" w:space="0" w:color="auto"/>
              <w:bottom w:val="single" w:sz="4" w:space="0" w:color="auto"/>
              <w:right w:val="single" w:sz="4" w:space="0" w:color="auto"/>
            </w:tcBorders>
          </w:tcPr>
          <w:p w14:paraId="10BFFB9D" w14:textId="43A156B0" w:rsidR="008E50EE" w:rsidRDefault="008E50EE" w:rsidP="00835856">
            <w:r>
              <w:t>Stuart Allen, Intersect</w:t>
            </w:r>
          </w:p>
        </w:tc>
        <w:tc>
          <w:tcPr>
            <w:tcW w:w="4508" w:type="dxa"/>
            <w:tcBorders>
              <w:top w:val="single" w:sz="4" w:space="0" w:color="auto"/>
              <w:left w:val="single" w:sz="4" w:space="0" w:color="auto"/>
              <w:bottom w:val="single" w:sz="4" w:space="0" w:color="auto"/>
              <w:right w:val="single" w:sz="4" w:space="0" w:color="auto"/>
            </w:tcBorders>
          </w:tcPr>
          <w:p w14:paraId="30246C49" w14:textId="28F9F6C3" w:rsidR="008E50EE" w:rsidRDefault="008E50EE" w:rsidP="00835856">
            <w:r>
              <w:t>Intersect Support</w:t>
            </w:r>
          </w:p>
        </w:tc>
      </w:tr>
    </w:tbl>
    <w:p w14:paraId="4707A6E1" w14:textId="77777777" w:rsidR="00037D52" w:rsidRDefault="00037D52" w:rsidP="00037D52">
      <w:pPr>
        <w:spacing w:after="0" w:line="240" w:lineRule="auto"/>
        <w:rPr>
          <w:b/>
        </w:rPr>
      </w:pPr>
    </w:p>
    <w:p w14:paraId="0B99CFB2" w14:textId="77777777" w:rsidR="00037D52" w:rsidRDefault="00037D52" w:rsidP="00037D52">
      <w:pPr>
        <w:spacing w:after="0" w:line="240" w:lineRule="auto"/>
      </w:pPr>
      <w:r>
        <w:t xml:space="preserve">Project Overview </w:t>
      </w:r>
    </w:p>
    <w:p w14:paraId="26C19DDB" w14:textId="77777777" w:rsidR="00037D52" w:rsidRDefault="001C7E59" w:rsidP="00037D52">
      <w:pPr>
        <w:spacing w:after="0" w:line="240" w:lineRule="auto"/>
      </w:pPr>
      <w:hyperlink r:id="rId39" w:history="1">
        <w:r w:rsidR="00037D52">
          <w:rPr>
            <w:rStyle w:val="Hyperlink"/>
          </w:rPr>
          <w:t>https://projects.ands.org.au/id/SC11</w:t>
        </w:r>
      </w:hyperlink>
      <w:r w:rsidR="00037D52">
        <w:t xml:space="preserve"> </w:t>
      </w:r>
    </w:p>
    <w:p w14:paraId="6CD1AB41" w14:textId="77777777" w:rsidR="00037D52" w:rsidRDefault="00037D52" w:rsidP="00037D52">
      <w:pPr>
        <w:spacing w:after="0" w:line="240" w:lineRule="auto"/>
      </w:pPr>
      <w:r>
        <w:t>Project Outcomes</w:t>
      </w:r>
    </w:p>
    <w:p w14:paraId="42A3CE81" w14:textId="77777777" w:rsidR="00037D52" w:rsidRDefault="001C7E59" w:rsidP="00037D52">
      <w:pPr>
        <w:pStyle w:val="ListParagraph"/>
        <w:spacing w:after="0" w:line="240" w:lineRule="auto"/>
        <w:ind w:left="0"/>
      </w:pPr>
      <w:hyperlink r:id="rId40" w:history="1">
        <w:r w:rsidR="00037D52">
          <w:rPr>
            <w:rStyle w:val="Hyperlink"/>
          </w:rPr>
          <w:t>http://www.research.mq.edu.au/current_research_staff/data_management/managing_research_data/research_toolkit/new_to_data_management</w:t>
        </w:r>
      </w:hyperlink>
      <w:r w:rsidR="00037D52">
        <w:t xml:space="preserve"> </w:t>
      </w:r>
    </w:p>
    <w:p w14:paraId="2136084D" w14:textId="77777777" w:rsidR="00037D52" w:rsidRDefault="00037D52" w:rsidP="00037D52">
      <w:pPr>
        <w:spacing w:after="0" w:line="240" w:lineRule="auto"/>
        <w:rPr>
          <w:b/>
        </w:rPr>
      </w:pPr>
    </w:p>
    <w:p w14:paraId="30E938DB" w14:textId="77777777" w:rsidR="00037D52" w:rsidRDefault="00037D52" w:rsidP="00037D52">
      <w:pPr>
        <w:spacing w:after="0" w:line="240" w:lineRule="auto"/>
        <w:rPr>
          <w:b/>
        </w:rPr>
      </w:pPr>
    </w:p>
    <w:p w14:paraId="7E36FCF3" w14:textId="77777777" w:rsidR="00037D52" w:rsidRDefault="00037D52" w:rsidP="00037D52">
      <w:pPr>
        <w:spacing w:after="0" w:line="240" w:lineRule="auto"/>
        <w:rPr>
          <w:b/>
        </w:rPr>
      </w:pPr>
      <w:r>
        <w:rPr>
          <w:b/>
        </w:rPr>
        <w:t>ANDS Metadata Stores</w:t>
      </w:r>
    </w:p>
    <w:tbl>
      <w:tblPr>
        <w:tblStyle w:val="TableGrid"/>
        <w:tblW w:w="0" w:type="auto"/>
        <w:tblLook w:val="04A0" w:firstRow="1" w:lastRow="0" w:firstColumn="1" w:lastColumn="0" w:noHBand="0" w:noVBand="1"/>
      </w:tblPr>
      <w:tblGrid>
        <w:gridCol w:w="4508"/>
        <w:gridCol w:w="4508"/>
      </w:tblGrid>
      <w:tr w:rsidR="00037D52" w14:paraId="41570B28" w14:textId="77777777" w:rsidTr="00835856">
        <w:tc>
          <w:tcPr>
            <w:tcW w:w="4508" w:type="dxa"/>
            <w:tcBorders>
              <w:top w:val="single" w:sz="4" w:space="0" w:color="auto"/>
              <w:left w:val="single" w:sz="4" w:space="0" w:color="auto"/>
              <w:bottom w:val="single" w:sz="4" w:space="0" w:color="auto"/>
              <w:right w:val="single" w:sz="4" w:space="0" w:color="auto"/>
            </w:tcBorders>
          </w:tcPr>
          <w:p w14:paraId="1E92FCDA" w14:textId="4D56C51D" w:rsidR="00037D52" w:rsidRDefault="00037D52" w:rsidP="00835856">
            <w:r>
              <w:t>Dianne Hillier, DVCR</w:t>
            </w:r>
            <w:r w:rsidR="00D65ACA">
              <w:t xml:space="preserve"> Office</w:t>
            </w:r>
          </w:p>
        </w:tc>
        <w:tc>
          <w:tcPr>
            <w:tcW w:w="4508" w:type="dxa"/>
            <w:tcBorders>
              <w:top w:val="single" w:sz="4" w:space="0" w:color="auto"/>
              <w:left w:val="single" w:sz="4" w:space="0" w:color="auto"/>
              <w:bottom w:val="single" w:sz="4" w:space="0" w:color="auto"/>
              <w:right w:val="single" w:sz="4" w:space="0" w:color="auto"/>
            </w:tcBorders>
          </w:tcPr>
          <w:p w14:paraId="07FAF35E" w14:textId="77777777" w:rsidR="00037D52" w:rsidRDefault="00037D52" w:rsidP="00835856">
            <w:r>
              <w:t>Project Manager</w:t>
            </w:r>
          </w:p>
        </w:tc>
      </w:tr>
      <w:tr w:rsidR="00037D52" w14:paraId="64FAAFEC" w14:textId="77777777" w:rsidTr="00835856">
        <w:tc>
          <w:tcPr>
            <w:tcW w:w="4508" w:type="dxa"/>
            <w:tcBorders>
              <w:top w:val="single" w:sz="4" w:space="0" w:color="auto"/>
              <w:left w:val="single" w:sz="4" w:space="0" w:color="auto"/>
              <w:bottom w:val="single" w:sz="4" w:space="0" w:color="auto"/>
              <w:right w:val="single" w:sz="4" w:space="0" w:color="auto"/>
            </w:tcBorders>
          </w:tcPr>
          <w:p w14:paraId="4353C53D" w14:textId="77777777" w:rsidR="00037D52" w:rsidRDefault="00037D52" w:rsidP="00835856">
            <w:proofErr w:type="spellStart"/>
            <w:r>
              <w:t>Semira</w:t>
            </w:r>
            <w:proofErr w:type="spellEnd"/>
            <w:r>
              <w:t xml:space="preserve"> </w:t>
            </w:r>
            <w:proofErr w:type="spellStart"/>
            <w:r>
              <w:t>Dautovic</w:t>
            </w:r>
            <w:proofErr w:type="spellEnd"/>
            <w:r>
              <w:t>, Research Office</w:t>
            </w:r>
          </w:p>
        </w:tc>
        <w:tc>
          <w:tcPr>
            <w:tcW w:w="4508" w:type="dxa"/>
            <w:tcBorders>
              <w:top w:val="single" w:sz="4" w:space="0" w:color="auto"/>
              <w:left w:val="single" w:sz="4" w:space="0" w:color="auto"/>
              <w:bottom w:val="single" w:sz="4" w:space="0" w:color="auto"/>
              <w:right w:val="single" w:sz="4" w:space="0" w:color="auto"/>
            </w:tcBorders>
          </w:tcPr>
          <w:p w14:paraId="7FC2887A" w14:textId="77777777" w:rsidR="00037D52" w:rsidRDefault="00037D52" w:rsidP="00835856">
            <w:r>
              <w:t>Project Team</w:t>
            </w:r>
          </w:p>
        </w:tc>
      </w:tr>
      <w:tr w:rsidR="00037D52" w14:paraId="4351467D" w14:textId="77777777" w:rsidTr="00835856">
        <w:tc>
          <w:tcPr>
            <w:tcW w:w="4508" w:type="dxa"/>
            <w:tcBorders>
              <w:top w:val="single" w:sz="4" w:space="0" w:color="auto"/>
              <w:left w:val="single" w:sz="4" w:space="0" w:color="auto"/>
              <w:bottom w:val="single" w:sz="4" w:space="0" w:color="auto"/>
              <w:right w:val="single" w:sz="4" w:space="0" w:color="auto"/>
            </w:tcBorders>
            <w:hideMark/>
          </w:tcPr>
          <w:p w14:paraId="003BD777" w14:textId="77777777" w:rsidR="00037D52" w:rsidRDefault="00037D52" w:rsidP="00835856">
            <w:r>
              <w:t xml:space="preserve">Vladimir </w:t>
            </w:r>
            <w:proofErr w:type="spellStart"/>
            <w:r>
              <w:t>Bubalo</w:t>
            </w:r>
            <w:proofErr w:type="spellEnd"/>
            <w:r>
              <w:t>, Library</w:t>
            </w:r>
          </w:p>
        </w:tc>
        <w:tc>
          <w:tcPr>
            <w:tcW w:w="4508" w:type="dxa"/>
            <w:tcBorders>
              <w:top w:val="single" w:sz="4" w:space="0" w:color="auto"/>
              <w:left w:val="single" w:sz="4" w:space="0" w:color="auto"/>
              <w:bottom w:val="single" w:sz="4" w:space="0" w:color="auto"/>
              <w:right w:val="single" w:sz="4" w:space="0" w:color="auto"/>
            </w:tcBorders>
            <w:hideMark/>
          </w:tcPr>
          <w:p w14:paraId="12C5A4D5" w14:textId="77777777" w:rsidR="00037D52" w:rsidRDefault="00037D52" w:rsidP="00835856">
            <w:r>
              <w:t>Project team</w:t>
            </w:r>
          </w:p>
        </w:tc>
      </w:tr>
      <w:tr w:rsidR="00037D52" w14:paraId="3E57EF81" w14:textId="77777777" w:rsidTr="00835856">
        <w:tc>
          <w:tcPr>
            <w:tcW w:w="4508" w:type="dxa"/>
            <w:tcBorders>
              <w:top w:val="single" w:sz="4" w:space="0" w:color="auto"/>
              <w:left w:val="single" w:sz="4" w:space="0" w:color="auto"/>
              <w:bottom w:val="single" w:sz="4" w:space="0" w:color="auto"/>
              <w:right w:val="single" w:sz="4" w:space="0" w:color="auto"/>
            </w:tcBorders>
          </w:tcPr>
          <w:p w14:paraId="2009F9B8" w14:textId="77777777" w:rsidR="00037D52" w:rsidRDefault="00037D52" w:rsidP="00835856">
            <w:r>
              <w:t>Josephine Morton, Library</w:t>
            </w:r>
          </w:p>
        </w:tc>
        <w:tc>
          <w:tcPr>
            <w:tcW w:w="4508" w:type="dxa"/>
            <w:tcBorders>
              <w:top w:val="single" w:sz="4" w:space="0" w:color="auto"/>
              <w:left w:val="single" w:sz="4" w:space="0" w:color="auto"/>
              <w:bottom w:val="single" w:sz="4" w:space="0" w:color="auto"/>
              <w:right w:val="single" w:sz="4" w:space="0" w:color="auto"/>
            </w:tcBorders>
          </w:tcPr>
          <w:p w14:paraId="39BDB866" w14:textId="77777777" w:rsidR="00037D52" w:rsidRDefault="00037D52" w:rsidP="00835856">
            <w:r>
              <w:t>Project Team</w:t>
            </w:r>
          </w:p>
        </w:tc>
      </w:tr>
      <w:tr w:rsidR="00037D52" w14:paraId="5B576B40" w14:textId="77777777" w:rsidTr="00835856">
        <w:tc>
          <w:tcPr>
            <w:tcW w:w="4508" w:type="dxa"/>
            <w:tcBorders>
              <w:top w:val="single" w:sz="4" w:space="0" w:color="auto"/>
              <w:left w:val="single" w:sz="4" w:space="0" w:color="auto"/>
              <w:bottom w:val="single" w:sz="4" w:space="0" w:color="auto"/>
              <w:right w:val="single" w:sz="4" w:space="0" w:color="auto"/>
            </w:tcBorders>
          </w:tcPr>
          <w:p w14:paraId="4E8C0885" w14:textId="3FE81C1A" w:rsidR="00037D52" w:rsidRDefault="00037D52" w:rsidP="00835856">
            <w:proofErr w:type="spellStart"/>
            <w:r>
              <w:t>Nishan</w:t>
            </w:r>
            <w:proofErr w:type="spellEnd"/>
            <w:r>
              <w:t xml:space="preserve"> Naidoo, Library I</w:t>
            </w:r>
            <w:r w:rsidR="00D65ACA">
              <w:t xml:space="preserve">nformation </w:t>
            </w:r>
            <w:r>
              <w:t>T</w:t>
            </w:r>
            <w:r w:rsidR="00D65ACA">
              <w:t>echnology</w:t>
            </w:r>
          </w:p>
        </w:tc>
        <w:tc>
          <w:tcPr>
            <w:tcW w:w="4508" w:type="dxa"/>
            <w:tcBorders>
              <w:top w:val="single" w:sz="4" w:space="0" w:color="auto"/>
              <w:left w:val="single" w:sz="4" w:space="0" w:color="auto"/>
              <w:bottom w:val="single" w:sz="4" w:space="0" w:color="auto"/>
              <w:right w:val="single" w:sz="4" w:space="0" w:color="auto"/>
            </w:tcBorders>
          </w:tcPr>
          <w:p w14:paraId="6D2FBC4B" w14:textId="77777777" w:rsidR="00037D52" w:rsidRDefault="00037D52" w:rsidP="00835856">
            <w:r>
              <w:t>Project Team</w:t>
            </w:r>
          </w:p>
        </w:tc>
      </w:tr>
      <w:tr w:rsidR="00037D52" w14:paraId="7EEB8121" w14:textId="77777777" w:rsidTr="00835856">
        <w:tc>
          <w:tcPr>
            <w:tcW w:w="4508" w:type="dxa"/>
            <w:tcBorders>
              <w:top w:val="single" w:sz="4" w:space="0" w:color="auto"/>
              <w:left w:val="single" w:sz="4" w:space="0" w:color="auto"/>
              <w:bottom w:val="single" w:sz="4" w:space="0" w:color="auto"/>
              <w:right w:val="single" w:sz="4" w:space="0" w:color="auto"/>
            </w:tcBorders>
            <w:hideMark/>
          </w:tcPr>
          <w:p w14:paraId="43BA6691" w14:textId="09D808DB" w:rsidR="00037D52" w:rsidRDefault="00D65ACA" w:rsidP="00835856">
            <w:r>
              <w:t xml:space="preserve">Noel </w:t>
            </w:r>
            <w:proofErr w:type="spellStart"/>
            <w:r>
              <w:t>Valenti</w:t>
            </w:r>
            <w:proofErr w:type="spellEnd"/>
            <w:r>
              <w:t>, Information Technology</w:t>
            </w:r>
          </w:p>
        </w:tc>
        <w:tc>
          <w:tcPr>
            <w:tcW w:w="4508" w:type="dxa"/>
            <w:tcBorders>
              <w:top w:val="single" w:sz="4" w:space="0" w:color="auto"/>
              <w:left w:val="single" w:sz="4" w:space="0" w:color="auto"/>
              <w:bottom w:val="single" w:sz="4" w:space="0" w:color="auto"/>
              <w:right w:val="single" w:sz="4" w:space="0" w:color="auto"/>
            </w:tcBorders>
            <w:hideMark/>
          </w:tcPr>
          <w:p w14:paraId="60FDAD3A" w14:textId="77777777" w:rsidR="00037D52" w:rsidRDefault="00037D52" w:rsidP="00835856">
            <w:r>
              <w:t>Project Team</w:t>
            </w:r>
          </w:p>
        </w:tc>
      </w:tr>
      <w:tr w:rsidR="00037D52" w14:paraId="0221663C" w14:textId="77777777" w:rsidTr="00835856">
        <w:tc>
          <w:tcPr>
            <w:tcW w:w="4508" w:type="dxa"/>
            <w:tcBorders>
              <w:top w:val="single" w:sz="4" w:space="0" w:color="auto"/>
              <w:left w:val="single" w:sz="4" w:space="0" w:color="auto"/>
              <w:bottom w:val="single" w:sz="4" w:space="0" w:color="auto"/>
              <w:right w:val="single" w:sz="4" w:space="0" w:color="auto"/>
            </w:tcBorders>
          </w:tcPr>
          <w:p w14:paraId="2BC5C0E1" w14:textId="169B5C9C" w:rsidR="00037D52" w:rsidRDefault="00D65ACA" w:rsidP="00835856">
            <w:proofErr w:type="spellStart"/>
            <w:r>
              <w:t>Marcelle</w:t>
            </w:r>
            <w:proofErr w:type="spellEnd"/>
            <w:r>
              <w:t xml:space="preserve"> Douglas, Information Technology</w:t>
            </w:r>
          </w:p>
        </w:tc>
        <w:tc>
          <w:tcPr>
            <w:tcW w:w="4508" w:type="dxa"/>
            <w:tcBorders>
              <w:top w:val="single" w:sz="4" w:space="0" w:color="auto"/>
              <w:left w:val="single" w:sz="4" w:space="0" w:color="auto"/>
              <w:bottom w:val="single" w:sz="4" w:space="0" w:color="auto"/>
              <w:right w:val="single" w:sz="4" w:space="0" w:color="auto"/>
            </w:tcBorders>
          </w:tcPr>
          <w:p w14:paraId="5C85552C" w14:textId="77777777" w:rsidR="00037D52" w:rsidRDefault="00037D52" w:rsidP="00835856">
            <w:r>
              <w:t>Project Team</w:t>
            </w:r>
          </w:p>
        </w:tc>
      </w:tr>
      <w:tr w:rsidR="00037D52" w14:paraId="67A6ED3D" w14:textId="77777777" w:rsidTr="00835856">
        <w:tc>
          <w:tcPr>
            <w:tcW w:w="4508" w:type="dxa"/>
            <w:tcBorders>
              <w:top w:val="single" w:sz="4" w:space="0" w:color="auto"/>
              <w:left w:val="single" w:sz="4" w:space="0" w:color="auto"/>
              <w:bottom w:val="single" w:sz="4" w:space="0" w:color="auto"/>
              <w:right w:val="single" w:sz="4" w:space="0" w:color="auto"/>
            </w:tcBorders>
          </w:tcPr>
          <w:p w14:paraId="565BB8D4" w14:textId="066B7FF5" w:rsidR="00037D52" w:rsidRDefault="00D65ACA" w:rsidP="00835856">
            <w:r>
              <w:t>Blossom Wong, Information Technology</w:t>
            </w:r>
          </w:p>
        </w:tc>
        <w:tc>
          <w:tcPr>
            <w:tcW w:w="4508" w:type="dxa"/>
            <w:tcBorders>
              <w:top w:val="single" w:sz="4" w:space="0" w:color="auto"/>
              <w:left w:val="single" w:sz="4" w:space="0" w:color="auto"/>
              <w:bottom w:val="single" w:sz="4" w:space="0" w:color="auto"/>
              <w:right w:val="single" w:sz="4" w:space="0" w:color="auto"/>
            </w:tcBorders>
          </w:tcPr>
          <w:p w14:paraId="17CE7D3B" w14:textId="77777777" w:rsidR="00037D52" w:rsidRDefault="00037D52" w:rsidP="00835856">
            <w:r>
              <w:t>Project Team</w:t>
            </w:r>
          </w:p>
        </w:tc>
      </w:tr>
      <w:tr w:rsidR="00037D52" w14:paraId="1A81251B" w14:textId="77777777" w:rsidTr="00835856">
        <w:tc>
          <w:tcPr>
            <w:tcW w:w="4508" w:type="dxa"/>
            <w:tcBorders>
              <w:top w:val="single" w:sz="4" w:space="0" w:color="auto"/>
              <w:left w:val="single" w:sz="4" w:space="0" w:color="auto"/>
              <w:bottom w:val="single" w:sz="4" w:space="0" w:color="auto"/>
              <w:right w:val="single" w:sz="4" w:space="0" w:color="auto"/>
            </w:tcBorders>
          </w:tcPr>
          <w:p w14:paraId="09E82ED4" w14:textId="4D35C3CC" w:rsidR="00037D52" w:rsidRDefault="00D65ACA" w:rsidP="00835856">
            <w:r>
              <w:t xml:space="preserve">Warwick </w:t>
            </w:r>
            <w:proofErr w:type="spellStart"/>
            <w:r>
              <w:t>Bur</w:t>
            </w:r>
            <w:r w:rsidR="004A4EE9">
              <w:t>d</w:t>
            </w:r>
            <w:r>
              <w:t>ge</w:t>
            </w:r>
            <w:proofErr w:type="spellEnd"/>
            <w:r>
              <w:t>, Information Technology</w:t>
            </w:r>
          </w:p>
        </w:tc>
        <w:tc>
          <w:tcPr>
            <w:tcW w:w="4508" w:type="dxa"/>
            <w:tcBorders>
              <w:top w:val="single" w:sz="4" w:space="0" w:color="auto"/>
              <w:left w:val="single" w:sz="4" w:space="0" w:color="auto"/>
              <w:bottom w:val="single" w:sz="4" w:space="0" w:color="auto"/>
              <w:right w:val="single" w:sz="4" w:space="0" w:color="auto"/>
            </w:tcBorders>
          </w:tcPr>
          <w:p w14:paraId="2B59438C" w14:textId="77777777" w:rsidR="00037D52" w:rsidRDefault="00037D52" w:rsidP="00835856">
            <w:r>
              <w:t>Project Team</w:t>
            </w:r>
          </w:p>
        </w:tc>
      </w:tr>
      <w:tr w:rsidR="00037D52" w14:paraId="0B245C42" w14:textId="77777777" w:rsidTr="00835856">
        <w:tc>
          <w:tcPr>
            <w:tcW w:w="4508" w:type="dxa"/>
            <w:tcBorders>
              <w:top w:val="single" w:sz="4" w:space="0" w:color="auto"/>
              <w:left w:val="single" w:sz="4" w:space="0" w:color="auto"/>
              <w:bottom w:val="single" w:sz="4" w:space="0" w:color="auto"/>
              <w:right w:val="single" w:sz="4" w:space="0" w:color="auto"/>
            </w:tcBorders>
            <w:hideMark/>
          </w:tcPr>
          <w:p w14:paraId="67794F14" w14:textId="72CFF776" w:rsidR="00037D52" w:rsidRDefault="00037D52" w:rsidP="00835856">
            <w:r>
              <w:t>As above</w:t>
            </w:r>
            <w:r w:rsidR="00D65ACA">
              <w:t xml:space="preserve"> (Seeding the Commons)</w:t>
            </w:r>
          </w:p>
        </w:tc>
        <w:tc>
          <w:tcPr>
            <w:tcW w:w="4508" w:type="dxa"/>
            <w:tcBorders>
              <w:top w:val="single" w:sz="4" w:space="0" w:color="auto"/>
              <w:left w:val="single" w:sz="4" w:space="0" w:color="auto"/>
              <w:bottom w:val="single" w:sz="4" w:space="0" w:color="auto"/>
              <w:right w:val="single" w:sz="4" w:space="0" w:color="auto"/>
            </w:tcBorders>
            <w:hideMark/>
          </w:tcPr>
          <w:p w14:paraId="33DB9D0A" w14:textId="77777777" w:rsidR="00037D52" w:rsidRDefault="00037D52" w:rsidP="00835856">
            <w:r>
              <w:t>Steering Committee</w:t>
            </w:r>
          </w:p>
        </w:tc>
      </w:tr>
      <w:tr w:rsidR="00037D52" w14:paraId="3ECEAF22" w14:textId="77777777" w:rsidTr="00835856">
        <w:tc>
          <w:tcPr>
            <w:tcW w:w="4508" w:type="dxa"/>
            <w:tcBorders>
              <w:top w:val="single" w:sz="4" w:space="0" w:color="auto"/>
              <w:left w:val="single" w:sz="4" w:space="0" w:color="auto"/>
              <w:bottom w:val="single" w:sz="4" w:space="0" w:color="auto"/>
              <w:right w:val="single" w:sz="4" w:space="0" w:color="auto"/>
            </w:tcBorders>
          </w:tcPr>
          <w:p w14:paraId="0CF3F85E" w14:textId="77777777" w:rsidR="00037D52" w:rsidRDefault="00037D52" w:rsidP="00835856">
            <w:r>
              <w:t>Stuart Allen, Intersect</w:t>
            </w:r>
          </w:p>
        </w:tc>
        <w:tc>
          <w:tcPr>
            <w:tcW w:w="4508" w:type="dxa"/>
            <w:tcBorders>
              <w:top w:val="single" w:sz="4" w:space="0" w:color="auto"/>
              <w:left w:val="single" w:sz="4" w:space="0" w:color="auto"/>
              <w:bottom w:val="single" w:sz="4" w:space="0" w:color="auto"/>
              <w:right w:val="single" w:sz="4" w:space="0" w:color="auto"/>
            </w:tcBorders>
          </w:tcPr>
          <w:p w14:paraId="068BDDF5" w14:textId="77777777" w:rsidR="00037D52" w:rsidRDefault="00037D52" w:rsidP="00835856">
            <w:r>
              <w:t>Intersect Support</w:t>
            </w:r>
          </w:p>
        </w:tc>
      </w:tr>
    </w:tbl>
    <w:p w14:paraId="1A218EDC" w14:textId="77777777" w:rsidR="00037D52" w:rsidRDefault="00037D52" w:rsidP="00037D52">
      <w:pPr>
        <w:spacing w:after="0" w:line="240" w:lineRule="auto"/>
      </w:pPr>
    </w:p>
    <w:p w14:paraId="147249CB" w14:textId="77777777" w:rsidR="00037D52" w:rsidRDefault="00037D52" w:rsidP="00037D52">
      <w:pPr>
        <w:spacing w:after="0" w:line="240" w:lineRule="auto"/>
      </w:pPr>
      <w:r>
        <w:t xml:space="preserve">Project Overview </w:t>
      </w:r>
    </w:p>
    <w:p w14:paraId="7F85A93D" w14:textId="77777777" w:rsidR="00037D52" w:rsidRDefault="001C7E59" w:rsidP="00037D52">
      <w:pPr>
        <w:spacing w:after="0" w:line="240" w:lineRule="auto"/>
      </w:pPr>
      <w:hyperlink r:id="rId41" w:history="1">
        <w:r w:rsidR="00037D52">
          <w:rPr>
            <w:rStyle w:val="Hyperlink"/>
          </w:rPr>
          <w:t>https://projects.ands.org.au/id/MS19</w:t>
        </w:r>
      </w:hyperlink>
      <w:r w:rsidR="00037D52">
        <w:t xml:space="preserve"> </w:t>
      </w:r>
    </w:p>
    <w:p w14:paraId="45BA87B7" w14:textId="77777777" w:rsidR="00037D52" w:rsidRDefault="00037D52" w:rsidP="00037D52">
      <w:pPr>
        <w:spacing w:after="0" w:line="240" w:lineRule="auto"/>
      </w:pPr>
      <w:r>
        <w:t xml:space="preserve">Project Outcomes </w:t>
      </w:r>
      <w:hyperlink r:id="rId42" w:anchor="!/p=1/group=Macquarie%20University/" w:history="1">
        <w:r>
          <w:rPr>
            <w:rStyle w:val="Hyperlink"/>
          </w:rPr>
          <w:t>https://researchdata.ands.org.au/search/#!/p=1/group=Macquarie%20University/</w:t>
        </w:r>
      </w:hyperlink>
      <w:r>
        <w:t xml:space="preserve"> </w:t>
      </w:r>
    </w:p>
    <w:p w14:paraId="1FF54961" w14:textId="77777777" w:rsidR="00037D52" w:rsidRDefault="00037D52" w:rsidP="00037D52">
      <w:pPr>
        <w:spacing w:after="0" w:line="240" w:lineRule="auto"/>
      </w:pPr>
    </w:p>
    <w:p w14:paraId="200CD62C" w14:textId="77777777" w:rsidR="00037D52" w:rsidRDefault="00037D52" w:rsidP="00037D52">
      <w:pPr>
        <w:spacing w:after="0" w:line="240" w:lineRule="auto"/>
      </w:pPr>
    </w:p>
    <w:p w14:paraId="278117D9" w14:textId="77777777" w:rsidR="00037D52" w:rsidRDefault="00037D52" w:rsidP="00037D52">
      <w:pPr>
        <w:spacing w:after="0" w:line="240" w:lineRule="auto"/>
      </w:pPr>
      <w:r>
        <w:rPr>
          <w:b/>
        </w:rPr>
        <w:t xml:space="preserve">ANDS Macquarie University </w:t>
      </w:r>
      <w:proofErr w:type="spellStart"/>
      <w:r>
        <w:rPr>
          <w:b/>
        </w:rPr>
        <w:t>Glycomics</w:t>
      </w:r>
      <w:proofErr w:type="spellEnd"/>
      <w:r>
        <w:rPr>
          <w:b/>
        </w:rPr>
        <w:t xml:space="preserve"> Repository</w:t>
      </w:r>
      <w:r>
        <w:t xml:space="preserve"> </w:t>
      </w:r>
    </w:p>
    <w:tbl>
      <w:tblPr>
        <w:tblStyle w:val="TableGrid"/>
        <w:tblW w:w="0" w:type="auto"/>
        <w:tblLook w:val="04A0" w:firstRow="1" w:lastRow="0" w:firstColumn="1" w:lastColumn="0" w:noHBand="0" w:noVBand="1"/>
      </w:tblPr>
      <w:tblGrid>
        <w:gridCol w:w="4508"/>
        <w:gridCol w:w="4508"/>
      </w:tblGrid>
      <w:tr w:rsidR="00037D52" w14:paraId="3894C1D6" w14:textId="77777777" w:rsidTr="00835856">
        <w:tc>
          <w:tcPr>
            <w:tcW w:w="4508" w:type="dxa"/>
            <w:tcBorders>
              <w:top w:val="single" w:sz="4" w:space="0" w:color="auto"/>
              <w:left w:val="single" w:sz="4" w:space="0" w:color="auto"/>
              <w:bottom w:val="single" w:sz="4" w:space="0" w:color="auto"/>
              <w:right w:val="single" w:sz="4" w:space="0" w:color="auto"/>
            </w:tcBorders>
            <w:hideMark/>
          </w:tcPr>
          <w:p w14:paraId="1E7CACB6" w14:textId="613C8C22" w:rsidR="00037D52" w:rsidRDefault="00037D52" w:rsidP="00835856">
            <w:r>
              <w:t>Prof</w:t>
            </w:r>
            <w:r w:rsidR="00D65ACA">
              <w:t>essor</w:t>
            </w:r>
            <w:r>
              <w:t xml:space="preserve"> Nicolle Packer </w:t>
            </w:r>
          </w:p>
        </w:tc>
        <w:tc>
          <w:tcPr>
            <w:tcW w:w="4508" w:type="dxa"/>
            <w:tcBorders>
              <w:top w:val="single" w:sz="4" w:space="0" w:color="auto"/>
              <w:left w:val="single" w:sz="4" w:space="0" w:color="auto"/>
              <w:bottom w:val="single" w:sz="4" w:space="0" w:color="auto"/>
              <w:right w:val="single" w:sz="4" w:space="0" w:color="auto"/>
            </w:tcBorders>
            <w:hideMark/>
          </w:tcPr>
          <w:p w14:paraId="2FFA8388" w14:textId="77777777" w:rsidR="00037D52" w:rsidRDefault="00037D52" w:rsidP="00835856">
            <w:r>
              <w:t>Lead Researcher</w:t>
            </w:r>
          </w:p>
        </w:tc>
      </w:tr>
      <w:tr w:rsidR="00037D52" w14:paraId="20FAF26D" w14:textId="77777777" w:rsidTr="00835856">
        <w:tc>
          <w:tcPr>
            <w:tcW w:w="4508" w:type="dxa"/>
            <w:tcBorders>
              <w:top w:val="single" w:sz="4" w:space="0" w:color="auto"/>
              <w:left w:val="single" w:sz="4" w:space="0" w:color="auto"/>
              <w:bottom w:val="single" w:sz="4" w:space="0" w:color="auto"/>
              <w:right w:val="single" w:sz="4" w:space="0" w:color="auto"/>
            </w:tcBorders>
            <w:hideMark/>
          </w:tcPr>
          <w:p w14:paraId="3DDD08E2" w14:textId="77777777" w:rsidR="00037D52" w:rsidRDefault="00037D52" w:rsidP="00835856">
            <w:r>
              <w:lastRenderedPageBreak/>
              <w:t>Dr Matthew Campbell</w:t>
            </w:r>
          </w:p>
        </w:tc>
        <w:tc>
          <w:tcPr>
            <w:tcW w:w="4508" w:type="dxa"/>
            <w:tcBorders>
              <w:top w:val="single" w:sz="4" w:space="0" w:color="auto"/>
              <w:left w:val="single" w:sz="4" w:space="0" w:color="auto"/>
              <w:bottom w:val="single" w:sz="4" w:space="0" w:color="auto"/>
              <w:right w:val="single" w:sz="4" w:space="0" w:color="auto"/>
            </w:tcBorders>
            <w:hideMark/>
          </w:tcPr>
          <w:p w14:paraId="63AA8D48" w14:textId="77777777" w:rsidR="00037D52" w:rsidRDefault="00037D52" w:rsidP="00835856">
            <w:r>
              <w:t>Researcher, Developer, Data Source Admin</w:t>
            </w:r>
          </w:p>
        </w:tc>
      </w:tr>
    </w:tbl>
    <w:p w14:paraId="56330F52" w14:textId="77777777" w:rsidR="00037D52" w:rsidRDefault="00037D52" w:rsidP="00037D52">
      <w:pPr>
        <w:spacing w:after="0" w:line="240" w:lineRule="auto"/>
      </w:pPr>
    </w:p>
    <w:p w14:paraId="7FDFA0D1" w14:textId="77777777" w:rsidR="00037D52" w:rsidRDefault="00037D52" w:rsidP="00037D52">
      <w:pPr>
        <w:spacing w:after="0" w:line="240" w:lineRule="auto"/>
      </w:pPr>
      <w:r>
        <w:t xml:space="preserve">Project Overview </w:t>
      </w:r>
      <w:hyperlink r:id="rId43" w:history="1">
        <w:r>
          <w:rPr>
            <w:rStyle w:val="Hyperlink"/>
          </w:rPr>
          <w:t>http://ands.org.au/news/andsnapshot.html</w:t>
        </w:r>
      </w:hyperlink>
    </w:p>
    <w:p w14:paraId="41295E92" w14:textId="77777777" w:rsidR="00037D52" w:rsidRDefault="00037D52" w:rsidP="00037D52">
      <w:pPr>
        <w:spacing w:after="0" w:line="240" w:lineRule="auto"/>
      </w:pPr>
      <w:r>
        <w:t xml:space="preserve">Project Outcomes </w:t>
      </w:r>
      <w:hyperlink r:id="rId44" w:history="1">
        <w:r>
          <w:rPr>
            <w:rStyle w:val="Hyperlink"/>
          </w:rPr>
          <w:t>https://researchdata.ands.org.au/glycosuitedb-a-glycan-structure-repository-catalogue/19266</w:t>
        </w:r>
      </w:hyperlink>
      <w:r>
        <w:t xml:space="preserve"> </w:t>
      </w:r>
    </w:p>
    <w:p w14:paraId="6B1DEF90" w14:textId="77777777" w:rsidR="00037D52" w:rsidRDefault="00037D52" w:rsidP="00037D52">
      <w:pPr>
        <w:spacing w:after="0" w:line="240" w:lineRule="auto"/>
      </w:pPr>
    </w:p>
    <w:p w14:paraId="767C500F" w14:textId="77777777" w:rsidR="00037D52" w:rsidRDefault="00037D52" w:rsidP="00037D52">
      <w:pPr>
        <w:spacing w:after="0" w:line="240" w:lineRule="auto"/>
      </w:pPr>
    </w:p>
    <w:p w14:paraId="1A184D42" w14:textId="77777777" w:rsidR="00037D52" w:rsidRDefault="00037D52" w:rsidP="00037D52">
      <w:pPr>
        <w:spacing w:after="0" w:line="240" w:lineRule="auto"/>
        <w:rPr>
          <w:b/>
        </w:rPr>
      </w:pPr>
      <w:r>
        <w:rPr>
          <w:b/>
        </w:rPr>
        <w:t>Macquarie University Papyri Data Capture</w:t>
      </w:r>
    </w:p>
    <w:tbl>
      <w:tblPr>
        <w:tblStyle w:val="TableGrid"/>
        <w:tblW w:w="0" w:type="auto"/>
        <w:tblLook w:val="04A0" w:firstRow="1" w:lastRow="0" w:firstColumn="1" w:lastColumn="0" w:noHBand="0" w:noVBand="1"/>
      </w:tblPr>
      <w:tblGrid>
        <w:gridCol w:w="4508"/>
        <w:gridCol w:w="4508"/>
      </w:tblGrid>
      <w:tr w:rsidR="00037D52" w14:paraId="5642A543" w14:textId="77777777" w:rsidTr="00835856">
        <w:tc>
          <w:tcPr>
            <w:tcW w:w="4508" w:type="dxa"/>
            <w:tcBorders>
              <w:top w:val="single" w:sz="4" w:space="0" w:color="auto"/>
              <w:left w:val="single" w:sz="4" w:space="0" w:color="auto"/>
              <w:bottom w:val="single" w:sz="4" w:space="0" w:color="auto"/>
              <w:right w:val="single" w:sz="4" w:space="0" w:color="auto"/>
            </w:tcBorders>
            <w:hideMark/>
          </w:tcPr>
          <w:p w14:paraId="31588F8E" w14:textId="1EDCD4E0" w:rsidR="00037D52" w:rsidRDefault="00D65ACA" w:rsidP="00835856">
            <w:r>
              <w:t xml:space="preserve">A/Professor </w:t>
            </w:r>
            <w:r w:rsidR="00037D52">
              <w:t>Malcol</w:t>
            </w:r>
            <w:r>
              <w:t xml:space="preserve">m </w:t>
            </w:r>
            <w:proofErr w:type="spellStart"/>
            <w:r>
              <w:t>Choat</w:t>
            </w:r>
            <w:proofErr w:type="spellEnd"/>
          </w:p>
        </w:tc>
        <w:tc>
          <w:tcPr>
            <w:tcW w:w="4508" w:type="dxa"/>
            <w:tcBorders>
              <w:top w:val="single" w:sz="4" w:space="0" w:color="auto"/>
              <w:left w:val="single" w:sz="4" w:space="0" w:color="auto"/>
              <w:bottom w:val="single" w:sz="4" w:space="0" w:color="auto"/>
              <w:right w:val="single" w:sz="4" w:space="0" w:color="auto"/>
            </w:tcBorders>
            <w:hideMark/>
          </w:tcPr>
          <w:p w14:paraId="2D88055E" w14:textId="77777777" w:rsidR="00037D52" w:rsidRDefault="00037D52" w:rsidP="00835856">
            <w:r>
              <w:t>Lead Researcher, Data Source Administrator</w:t>
            </w:r>
          </w:p>
        </w:tc>
      </w:tr>
      <w:tr w:rsidR="00037D52" w14:paraId="547BBD84" w14:textId="77777777" w:rsidTr="00835856">
        <w:tc>
          <w:tcPr>
            <w:tcW w:w="4508" w:type="dxa"/>
            <w:tcBorders>
              <w:top w:val="single" w:sz="4" w:space="0" w:color="auto"/>
              <w:left w:val="single" w:sz="4" w:space="0" w:color="auto"/>
              <w:bottom w:val="single" w:sz="4" w:space="0" w:color="auto"/>
              <w:right w:val="single" w:sz="4" w:space="0" w:color="auto"/>
            </w:tcBorders>
            <w:hideMark/>
          </w:tcPr>
          <w:p w14:paraId="55CAEB6E" w14:textId="2691B2A2" w:rsidR="00037D52" w:rsidRDefault="00037D52" w:rsidP="00835856">
            <w:r>
              <w:t>Dr Trevor</w:t>
            </w:r>
            <w:r w:rsidR="00D65ACA">
              <w:t xml:space="preserve"> Evans</w:t>
            </w:r>
          </w:p>
        </w:tc>
        <w:tc>
          <w:tcPr>
            <w:tcW w:w="4508" w:type="dxa"/>
            <w:tcBorders>
              <w:top w:val="single" w:sz="4" w:space="0" w:color="auto"/>
              <w:left w:val="single" w:sz="4" w:space="0" w:color="auto"/>
              <w:bottom w:val="single" w:sz="4" w:space="0" w:color="auto"/>
              <w:right w:val="single" w:sz="4" w:space="0" w:color="auto"/>
            </w:tcBorders>
            <w:hideMark/>
          </w:tcPr>
          <w:p w14:paraId="64B6D0F9" w14:textId="77777777" w:rsidR="00037D52" w:rsidRDefault="00037D52" w:rsidP="00835856">
            <w:r>
              <w:t>Researcher</w:t>
            </w:r>
          </w:p>
        </w:tc>
      </w:tr>
    </w:tbl>
    <w:p w14:paraId="2A2261B9" w14:textId="77777777" w:rsidR="00037D52" w:rsidRDefault="00037D52" w:rsidP="00037D52">
      <w:pPr>
        <w:spacing w:after="0" w:line="240" w:lineRule="auto"/>
        <w:rPr>
          <w:b/>
        </w:rPr>
      </w:pPr>
    </w:p>
    <w:p w14:paraId="040BB7D9" w14:textId="77777777" w:rsidR="00037D52" w:rsidRDefault="00037D52" w:rsidP="00037D52">
      <w:pPr>
        <w:spacing w:after="0" w:line="240" w:lineRule="auto"/>
      </w:pPr>
      <w:r>
        <w:t xml:space="preserve">Project Overview </w:t>
      </w:r>
      <w:hyperlink r:id="rId45" w:history="1">
        <w:r>
          <w:rPr>
            <w:rStyle w:val="Hyperlink"/>
          </w:rPr>
          <w:t>https://projects.ands.org.au/id/DC12C</w:t>
        </w:r>
      </w:hyperlink>
      <w:r>
        <w:t xml:space="preserve">  </w:t>
      </w:r>
    </w:p>
    <w:p w14:paraId="5098B7CE" w14:textId="77777777" w:rsidR="00037D52" w:rsidRDefault="00037D52" w:rsidP="00037D52">
      <w:pPr>
        <w:spacing w:after="0" w:line="240" w:lineRule="auto"/>
      </w:pPr>
      <w:r>
        <w:t xml:space="preserve">Project Outcomes </w:t>
      </w:r>
      <w:hyperlink r:id="rId46" w:history="1">
        <w:r>
          <w:rPr>
            <w:rStyle w:val="Hyperlink"/>
          </w:rPr>
          <w:t>https://papyri.mq.edu.au/</w:t>
        </w:r>
      </w:hyperlink>
    </w:p>
    <w:p w14:paraId="0DD0279D" w14:textId="77777777" w:rsidR="00037D52" w:rsidRDefault="00037D52" w:rsidP="00037D52">
      <w:pPr>
        <w:spacing w:after="0" w:line="240" w:lineRule="auto"/>
      </w:pPr>
    </w:p>
    <w:p w14:paraId="058C7A58" w14:textId="77777777" w:rsidR="00037D52" w:rsidRDefault="00037D52" w:rsidP="00037D52">
      <w:pPr>
        <w:spacing w:after="0" w:line="240" w:lineRule="auto"/>
        <w:outlineLvl w:val="2"/>
      </w:pPr>
    </w:p>
    <w:p w14:paraId="793E404E" w14:textId="77777777" w:rsidR="00037D52" w:rsidRDefault="00037D52" w:rsidP="00037D52">
      <w:pPr>
        <w:spacing w:after="0" w:line="240" w:lineRule="auto"/>
        <w:outlineLvl w:val="2"/>
        <w:rPr>
          <w:b/>
        </w:rPr>
      </w:pPr>
      <w:r>
        <w:rPr>
          <w:b/>
        </w:rPr>
        <w:t>Productivity in Space and Time (</w:t>
      </w:r>
      <w:proofErr w:type="spellStart"/>
      <w:r>
        <w:rPr>
          <w:b/>
        </w:rPr>
        <w:t>ePiSaT</w:t>
      </w:r>
      <w:proofErr w:type="spellEnd"/>
      <w:r>
        <w:rPr>
          <w:b/>
        </w:rPr>
        <w:t>)</w:t>
      </w:r>
    </w:p>
    <w:tbl>
      <w:tblPr>
        <w:tblStyle w:val="TableGrid"/>
        <w:tblW w:w="0" w:type="auto"/>
        <w:tblLook w:val="04A0" w:firstRow="1" w:lastRow="0" w:firstColumn="1" w:lastColumn="0" w:noHBand="0" w:noVBand="1"/>
      </w:tblPr>
      <w:tblGrid>
        <w:gridCol w:w="4508"/>
        <w:gridCol w:w="4508"/>
      </w:tblGrid>
      <w:tr w:rsidR="00037D52" w14:paraId="1157A41A" w14:textId="77777777" w:rsidTr="00835856">
        <w:tc>
          <w:tcPr>
            <w:tcW w:w="4508" w:type="dxa"/>
            <w:tcBorders>
              <w:top w:val="single" w:sz="4" w:space="0" w:color="auto"/>
              <w:left w:val="single" w:sz="4" w:space="0" w:color="auto"/>
              <w:bottom w:val="single" w:sz="4" w:space="0" w:color="auto"/>
              <w:right w:val="single" w:sz="4" w:space="0" w:color="auto"/>
            </w:tcBorders>
            <w:hideMark/>
          </w:tcPr>
          <w:p w14:paraId="6435F555" w14:textId="76E68039" w:rsidR="00037D52" w:rsidRDefault="00541A16" w:rsidP="00835856">
            <w:r>
              <w:t>Professor</w:t>
            </w:r>
            <w:r w:rsidR="00037D52">
              <w:t xml:space="preserve"> Iain Colin Prentice</w:t>
            </w:r>
          </w:p>
        </w:tc>
        <w:tc>
          <w:tcPr>
            <w:tcW w:w="4508" w:type="dxa"/>
            <w:tcBorders>
              <w:top w:val="single" w:sz="4" w:space="0" w:color="auto"/>
              <w:left w:val="single" w:sz="4" w:space="0" w:color="auto"/>
              <w:bottom w:val="single" w:sz="4" w:space="0" w:color="auto"/>
              <w:right w:val="single" w:sz="4" w:space="0" w:color="auto"/>
            </w:tcBorders>
            <w:hideMark/>
          </w:tcPr>
          <w:p w14:paraId="0511A79B" w14:textId="77777777" w:rsidR="00037D52" w:rsidRDefault="00037D52" w:rsidP="00835856">
            <w:r>
              <w:t>Project Manager</w:t>
            </w:r>
          </w:p>
        </w:tc>
      </w:tr>
      <w:tr w:rsidR="00037D52" w14:paraId="67EE8E24" w14:textId="77777777" w:rsidTr="00835856">
        <w:tc>
          <w:tcPr>
            <w:tcW w:w="4508" w:type="dxa"/>
            <w:tcBorders>
              <w:top w:val="single" w:sz="4" w:space="0" w:color="auto"/>
              <w:left w:val="single" w:sz="4" w:space="0" w:color="auto"/>
              <w:bottom w:val="single" w:sz="4" w:space="0" w:color="auto"/>
              <w:right w:val="single" w:sz="4" w:space="0" w:color="auto"/>
            </w:tcBorders>
            <w:hideMark/>
          </w:tcPr>
          <w:p w14:paraId="6A3F3529" w14:textId="77777777" w:rsidR="00037D52" w:rsidRDefault="00037D52" w:rsidP="00835856">
            <w:r>
              <w:t>Bradley Evans</w:t>
            </w:r>
          </w:p>
        </w:tc>
        <w:tc>
          <w:tcPr>
            <w:tcW w:w="4508" w:type="dxa"/>
            <w:tcBorders>
              <w:top w:val="single" w:sz="4" w:space="0" w:color="auto"/>
              <w:left w:val="single" w:sz="4" w:space="0" w:color="auto"/>
              <w:bottom w:val="single" w:sz="4" w:space="0" w:color="auto"/>
              <w:right w:val="single" w:sz="4" w:space="0" w:color="auto"/>
            </w:tcBorders>
            <w:hideMark/>
          </w:tcPr>
          <w:p w14:paraId="15E75D2F" w14:textId="77777777" w:rsidR="00037D52" w:rsidRDefault="00037D52" w:rsidP="00835856">
            <w:r>
              <w:t>Developer</w:t>
            </w:r>
          </w:p>
        </w:tc>
      </w:tr>
    </w:tbl>
    <w:p w14:paraId="45CFF284" w14:textId="77777777" w:rsidR="00037D52" w:rsidRDefault="00037D52" w:rsidP="00037D52">
      <w:pPr>
        <w:spacing w:after="0" w:line="240" w:lineRule="auto"/>
        <w:outlineLvl w:val="2"/>
      </w:pPr>
    </w:p>
    <w:p w14:paraId="559779F5" w14:textId="77777777" w:rsidR="00037D52" w:rsidRDefault="00037D52" w:rsidP="00037D52">
      <w:pPr>
        <w:spacing w:after="0" w:line="240" w:lineRule="auto"/>
        <w:outlineLvl w:val="2"/>
      </w:pPr>
      <w:r>
        <w:t xml:space="preserve">Project Overview </w:t>
      </w:r>
      <w:hyperlink r:id="rId47" w:history="1">
        <w:r>
          <w:rPr>
            <w:rStyle w:val="Hyperlink"/>
          </w:rPr>
          <w:t>https://projects.ands.org.au/id/AP28</w:t>
        </w:r>
      </w:hyperlink>
      <w:r>
        <w:t xml:space="preserve"> </w:t>
      </w:r>
    </w:p>
    <w:p w14:paraId="2F2E9B33" w14:textId="77777777" w:rsidR="00037D52" w:rsidRDefault="00037D52" w:rsidP="00037D52">
      <w:pPr>
        <w:spacing w:after="0" w:line="240" w:lineRule="auto"/>
        <w:outlineLvl w:val="2"/>
      </w:pPr>
      <w:r>
        <w:t xml:space="preserve">Project Outcomes </w:t>
      </w:r>
      <w:hyperlink r:id="rId48" w:history="1">
        <w:r>
          <w:rPr>
            <w:rStyle w:val="Hyperlink"/>
          </w:rPr>
          <w:t>http://episat-software.blogspot.com.au/</w:t>
        </w:r>
      </w:hyperlink>
    </w:p>
    <w:p w14:paraId="2A04BC49" w14:textId="77777777" w:rsidR="00037D52" w:rsidRDefault="00037D52" w:rsidP="00037D52">
      <w:pPr>
        <w:spacing w:after="0" w:line="240" w:lineRule="auto"/>
      </w:pPr>
    </w:p>
    <w:p w14:paraId="12B7FE4F" w14:textId="77777777" w:rsidR="00037D52" w:rsidRDefault="00037D52" w:rsidP="00037D52">
      <w:pPr>
        <w:spacing w:after="0" w:line="240" w:lineRule="auto"/>
      </w:pPr>
    </w:p>
    <w:p w14:paraId="37A3E29C" w14:textId="77777777" w:rsidR="00037D52" w:rsidRDefault="00037D52" w:rsidP="00037D52">
      <w:pPr>
        <w:spacing w:after="0" w:line="240" w:lineRule="auto"/>
      </w:pPr>
      <w:r>
        <w:rPr>
          <w:b/>
        </w:rPr>
        <w:t>ANDS Macquarie University Major Open Data Collection (in progress)</w:t>
      </w:r>
    </w:p>
    <w:tbl>
      <w:tblPr>
        <w:tblStyle w:val="TableGrid"/>
        <w:tblW w:w="0" w:type="auto"/>
        <w:tblLook w:val="04A0" w:firstRow="1" w:lastRow="0" w:firstColumn="1" w:lastColumn="0" w:noHBand="0" w:noVBand="1"/>
      </w:tblPr>
      <w:tblGrid>
        <w:gridCol w:w="4508"/>
        <w:gridCol w:w="4508"/>
      </w:tblGrid>
      <w:tr w:rsidR="00037D52" w14:paraId="436F865C" w14:textId="77777777" w:rsidTr="00835856">
        <w:tc>
          <w:tcPr>
            <w:tcW w:w="4508" w:type="dxa"/>
            <w:tcBorders>
              <w:top w:val="single" w:sz="4" w:space="0" w:color="auto"/>
              <w:left w:val="single" w:sz="4" w:space="0" w:color="auto"/>
              <w:bottom w:val="single" w:sz="4" w:space="0" w:color="auto"/>
              <w:right w:val="single" w:sz="4" w:space="0" w:color="auto"/>
            </w:tcBorders>
            <w:hideMark/>
          </w:tcPr>
          <w:p w14:paraId="25394035" w14:textId="3572E4F7" w:rsidR="00037D52" w:rsidRDefault="00541A16" w:rsidP="00835856">
            <w:r>
              <w:t xml:space="preserve">Dr </w:t>
            </w:r>
            <w:r w:rsidR="00037D52">
              <w:t xml:space="preserve">Ines </w:t>
            </w:r>
            <w:proofErr w:type="spellStart"/>
            <w:r w:rsidR="00037D52">
              <w:t>Hessler</w:t>
            </w:r>
            <w:proofErr w:type="spellEnd"/>
            <w:r w:rsidR="00037D52">
              <w:t xml:space="preserve"> </w:t>
            </w:r>
          </w:p>
        </w:tc>
        <w:tc>
          <w:tcPr>
            <w:tcW w:w="4508" w:type="dxa"/>
            <w:tcBorders>
              <w:top w:val="single" w:sz="4" w:space="0" w:color="auto"/>
              <w:left w:val="single" w:sz="4" w:space="0" w:color="auto"/>
              <w:bottom w:val="single" w:sz="4" w:space="0" w:color="auto"/>
              <w:right w:val="single" w:sz="4" w:space="0" w:color="auto"/>
            </w:tcBorders>
            <w:hideMark/>
          </w:tcPr>
          <w:p w14:paraId="2060FA50" w14:textId="707DE586" w:rsidR="00037D52" w:rsidRDefault="008E50EE" w:rsidP="00835856">
            <w:r>
              <w:t>Project Manager</w:t>
            </w:r>
          </w:p>
        </w:tc>
      </w:tr>
      <w:tr w:rsidR="00037D52" w14:paraId="7D4892A2" w14:textId="77777777" w:rsidTr="00835856">
        <w:tc>
          <w:tcPr>
            <w:tcW w:w="4508" w:type="dxa"/>
            <w:tcBorders>
              <w:top w:val="single" w:sz="4" w:space="0" w:color="auto"/>
              <w:left w:val="single" w:sz="4" w:space="0" w:color="auto"/>
              <w:bottom w:val="single" w:sz="4" w:space="0" w:color="auto"/>
              <w:right w:val="single" w:sz="4" w:space="0" w:color="auto"/>
            </w:tcBorders>
            <w:hideMark/>
          </w:tcPr>
          <w:p w14:paraId="28825336" w14:textId="13C6B64B" w:rsidR="00037D52" w:rsidRDefault="00541A16" w:rsidP="00835856">
            <w:r>
              <w:t xml:space="preserve">Mr </w:t>
            </w:r>
            <w:r w:rsidR="00037D52">
              <w:t xml:space="preserve">Vladimir </w:t>
            </w:r>
            <w:proofErr w:type="spellStart"/>
            <w:r w:rsidR="00037D52">
              <w:t>Bubalo</w:t>
            </w:r>
            <w:proofErr w:type="spellEnd"/>
          </w:p>
        </w:tc>
        <w:tc>
          <w:tcPr>
            <w:tcW w:w="4508" w:type="dxa"/>
            <w:tcBorders>
              <w:top w:val="single" w:sz="4" w:space="0" w:color="auto"/>
              <w:left w:val="single" w:sz="4" w:space="0" w:color="auto"/>
              <w:bottom w:val="single" w:sz="4" w:space="0" w:color="auto"/>
              <w:right w:val="single" w:sz="4" w:space="0" w:color="auto"/>
            </w:tcBorders>
          </w:tcPr>
          <w:p w14:paraId="2ABF05A7" w14:textId="7791652D" w:rsidR="00037D52" w:rsidRDefault="008E50EE" w:rsidP="00835856">
            <w:r>
              <w:t>Project Team</w:t>
            </w:r>
          </w:p>
        </w:tc>
      </w:tr>
    </w:tbl>
    <w:p w14:paraId="642E4F2E" w14:textId="77777777" w:rsidR="00037D52" w:rsidRDefault="00037D52" w:rsidP="00037D52">
      <w:pPr>
        <w:spacing w:after="0" w:line="240" w:lineRule="auto"/>
      </w:pPr>
    </w:p>
    <w:p w14:paraId="5FA07B24" w14:textId="77777777" w:rsidR="00037D52" w:rsidRDefault="00037D52" w:rsidP="00037D52">
      <w:pPr>
        <w:spacing w:after="0" w:line="240" w:lineRule="auto"/>
      </w:pPr>
      <w:r>
        <w:t xml:space="preserve">Project Overview </w:t>
      </w:r>
      <w:hyperlink r:id="rId49" w:history="1">
        <w:r>
          <w:rPr>
            <w:rStyle w:val="Hyperlink"/>
          </w:rPr>
          <w:t>https://projects.ands.org.au/id/MODC14</w:t>
        </w:r>
      </w:hyperlink>
      <w:r>
        <w:tab/>
      </w:r>
    </w:p>
    <w:p w14:paraId="2AA0EF58" w14:textId="77777777" w:rsidR="00037D52" w:rsidRDefault="00037D52" w:rsidP="00037D52">
      <w:pPr>
        <w:spacing w:after="0" w:line="240" w:lineRule="auto"/>
      </w:pPr>
    </w:p>
    <w:p w14:paraId="7B0ABF95" w14:textId="77777777" w:rsidR="00037D52" w:rsidRDefault="00037D52" w:rsidP="00037D52">
      <w:pPr>
        <w:spacing w:after="0" w:line="240" w:lineRule="auto"/>
      </w:pPr>
    </w:p>
    <w:p w14:paraId="6664B54E" w14:textId="77777777" w:rsidR="00037D52" w:rsidRDefault="00037D52" w:rsidP="00037D52">
      <w:pPr>
        <w:spacing w:after="0" w:line="240" w:lineRule="auto"/>
        <w:rPr>
          <w:b/>
        </w:rPr>
      </w:pPr>
      <w:proofErr w:type="spellStart"/>
      <w:r>
        <w:rPr>
          <w:b/>
        </w:rPr>
        <w:t>Alveo</w:t>
      </w:r>
      <w:proofErr w:type="spellEnd"/>
      <w:r>
        <w:rPr>
          <w:b/>
        </w:rPr>
        <w:t xml:space="preserve"> (Above and Beyond Speech, Language and Music), led by UWS</w:t>
      </w:r>
    </w:p>
    <w:tbl>
      <w:tblPr>
        <w:tblStyle w:val="TableGrid"/>
        <w:tblW w:w="0" w:type="auto"/>
        <w:tblLook w:val="04A0" w:firstRow="1" w:lastRow="0" w:firstColumn="1" w:lastColumn="0" w:noHBand="0" w:noVBand="1"/>
      </w:tblPr>
      <w:tblGrid>
        <w:gridCol w:w="4508"/>
        <w:gridCol w:w="4508"/>
      </w:tblGrid>
      <w:tr w:rsidR="00037D52" w14:paraId="4361C2C9" w14:textId="77777777" w:rsidTr="00835856">
        <w:tc>
          <w:tcPr>
            <w:tcW w:w="4508" w:type="dxa"/>
            <w:tcBorders>
              <w:top w:val="single" w:sz="4" w:space="0" w:color="auto"/>
              <w:left w:val="single" w:sz="4" w:space="0" w:color="auto"/>
              <w:bottom w:val="single" w:sz="4" w:space="0" w:color="auto"/>
              <w:right w:val="single" w:sz="4" w:space="0" w:color="auto"/>
            </w:tcBorders>
            <w:hideMark/>
          </w:tcPr>
          <w:p w14:paraId="408C6D0B" w14:textId="22912631" w:rsidR="00037D52" w:rsidRDefault="00541A16" w:rsidP="00835856">
            <w:r>
              <w:t xml:space="preserve">A/Professor </w:t>
            </w:r>
            <w:r w:rsidR="00037D52">
              <w:t>Steve Cassidy</w:t>
            </w:r>
          </w:p>
        </w:tc>
        <w:tc>
          <w:tcPr>
            <w:tcW w:w="4508" w:type="dxa"/>
            <w:tcBorders>
              <w:top w:val="single" w:sz="4" w:space="0" w:color="auto"/>
              <w:left w:val="single" w:sz="4" w:space="0" w:color="auto"/>
              <w:bottom w:val="single" w:sz="4" w:space="0" w:color="auto"/>
              <w:right w:val="single" w:sz="4" w:space="0" w:color="auto"/>
            </w:tcBorders>
            <w:hideMark/>
          </w:tcPr>
          <w:p w14:paraId="66401490" w14:textId="77777777" w:rsidR="00037D52" w:rsidRDefault="00037D52" w:rsidP="00835856">
            <w:r>
              <w:t>Product Owner</w:t>
            </w:r>
          </w:p>
        </w:tc>
      </w:tr>
    </w:tbl>
    <w:p w14:paraId="187A7722" w14:textId="77777777" w:rsidR="00037D52" w:rsidRDefault="00037D52" w:rsidP="00037D52">
      <w:pPr>
        <w:spacing w:after="0" w:line="240" w:lineRule="auto"/>
      </w:pPr>
    </w:p>
    <w:p w14:paraId="2D390C39" w14:textId="77777777" w:rsidR="00037D52" w:rsidRDefault="00037D52" w:rsidP="00037D52">
      <w:pPr>
        <w:spacing w:after="0" w:line="240" w:lineRule="auto"/>
      </w:pPr>
      <w:r>
        <w:t xml:space="preserve">Project Overview and Outcomes: </w:t>
      </w:r>
      <w:hyperlink r:id="rId50" w:history="1">
        <w:r>
          <w:rPr>
            <w:rStyle w:val="Hyperlink"/>
          </w:rPr>
          <w:t>http://alveo.edu.au/</w:t>
        </w:r>
      </w:hyperlink>
    </w:p>
    <w:p w14:paraId="0096BB61" w14:textId="77777777" w:rsidR="00037D52" w:rsidRDefault="00037D52" w:rsidP="00037D52">
      <w:pPr>
        <w:spacing w:after="0" w:line="240" w:lineRule="auto"/>
      </w:pPr>
    </w:p>
    <w:p w14:paraId="319F3575" w14:textId="77777777" w:rsidR="00037D52" w:rsidRDefault="00037D52" w:rsidP="00037D52">
      <w:pPr>
        <w:spacing w:after="0" w:line="240" w:lineRule="auto"/>
      </w:pPr>
    </w:p>
    <w:p w14:paraId="43D28C57" w14:textId="29C3A4A4" w:rsidR="00037D52" w:rsidRDefault="00902246" w:rsidP="00037D52">
      <w:pPr>
        <w:spacing w:after="0" w:line="240" w:lineRule="auto"/>
        <w:rPr>
          <w:b/>
        </w:rPr>
      </w:pPr>
      <w:r>
        <w:rPr>
          <w:b/>
        </w:rPr>
        <w:t>DADA-HCS (f</w:t>
      </w:r>
      <w:r w:rsidR="00037D52">
        <w:rPr>
          <w:b/>
        </w:rPr>
        <w:t xml:space="preserve">unded by the ARC Special Research Initiative on </w:t>
      </w:r>
      <w:proofErr w:type="spellStart"/>
      <w:r w:rsidR="00037D52">
        <w:rPr>
          <w:b/>
        </w:rPr>
        <w:t>eResearch</w:t>
      </w:r>
      <w:proofErr w:type="spellEnd"/>
      <w:r w:rsidR="00037D52">
        <w:rPr>
          <w:b/>
        </w:rPr>
        <w:t>)</w:t>
      </w:r>
    </w:p>
    <w:tbl>
      <w:tblPr>
        <w:tblStyle w:val="TableGrid"/>
        <w:tblW w:w="0" w:type="auto"/>
        <w:tblLook w:val="04A0" w:firstRow="1" w:lastRow="0" w:firstColumn="1" w:lastColumn="0" w:noHBand="0" w:noVBand="1"/>
      </w:tblPr>
      <w:tblGrid>
        <w:gridCol w:w="4508"/>
        <w:gridCol w:w="4508"/>
      </w:tblGrid>
      <w:tr w:rsidR="00037D52" w14:paraId="2524EC60" w14:textId="77777777" w:rsidTr="00835856">
        <w:tc>
          <w:tcPr>
            <w:tcW w:w="4508" w:type="dxa"/>
            <w:tcBorders>
              <w:top w:val="single" w:sz="4" w:space="0" w:color="auto"/>
              <w:left w:val="single" w:sz="4" w:space="0" w:color="auto"/>
              <w:bottom w:val="single" w:sz="4" w:space="0" w:color="auto"/>
              <w:right w:val="single" w:sz="4" w:space="0" w:color="auto"/>
            </w:tcBorders>
            <w:hideMark/>
          </w:tcPr>
          <w:p w14:paraId="7F5ECBD7" w14:textId="7CD56BAF" w:rsidR="00037D52" w:rsidRDefault="00541A16" w:rsidP="00835856">
            <w:r>
              <w:t xml:space="preserve">A/Professor </w:t>
            </w:r>
            <w:r w:rsidR="00037D52">
              <w:t>Steve Cassidy</w:t>
            </w:r>
          </w:p>
        </w:tc>
        <w:tc>
          <w:tcPr>
            <w:tcW w:w="4508" w:type="dxa"/>
            <w:tcBorders>
              <w:top w:val="single" w:sz="4" w:space="0" w:color="auto"/>
              <w:left w:val="single" w:sz="4" w:space="0" w:color="auto"/>
              <w:bottom w:val="single" w:sz="4" w:space="0" w:color="auto"/>
              <w:right w:val="single" w:sz="4" w:space="0" w:color="auto"/>
            </w:tcBorders>
            <w:hideMark/>
          </w:tcPr>
          <w:p w14:paraId="72BF04B8" w14:textId="77777777" w:rsidR="00037D52" w:rsidRDefault="00037D52" w:rsidP="00835856">
            <w:r>
              <w:t>Project Coordinator</w:t>
            </w:r>
          </w:p>
        </w:tc>
      </w:tr>
    </w:tbl>
    <w:p w14:paraId="148CD726" w14:textId="77777777" w:rsidR="00037D52" w:rsidRDefault="00037D52" w:rsidP="00037D52">
      <w:pPr>
        <w:spacing w:after="0" w:line="240" w:lineRule="auto"/>
      </w:pPr>
    </w:p>
    <w:p w14:paraId="7A269016" w14:textId="77777777" w:rsidR="00037D52" w:rsidRDefault="00037D52" w:rsidP="00037D52">
      <w:pPr>
        <w:spacing w:after="0" w:line="240" w:lineRule="auto"/>
      </w:pPr>
      <w:r>
        <w:t xml:space="preserve">Project Overview: </w:t>
      </w:r>
      <w:hyperlink r:id="rId51" w:history="1">
        <w:r>
          <w:rPr>
            <w:rStyle w:val="Hyperlink"/>
          </w:rPr>
          <w:t>http://clt.mq.edu.au/research/projects/dada/</w:t>
        </w:r>
      </w:hyperlink>
      <w:r>
        <w:t xml:space="preserve"> </w:t>
      </w:r>
    </w:p>
    <w:p w14:paraId="3472A08B" w14:textId="77777777" w:rsidR="00037D52" w:rsidRDefault="00037D52" w:rsidP="00037D52">
      <w:pPr>
        <w:spacing w:after="0" w:line="240" w:lineRule="auto"/>
      </w:pPr>
    </w:p>
    <w:p w14:paraId="2C85B469" w14:textId="77777777" w:rsidR="00037D52" w:rsidRDefault="00037D52" w:rsidP="00037D52">
      <w:pPr>
        <w:spacing w:after="0" w:line="240" w:lineRule="auto"/>
      </w:pPr>
    </w:p>
    <w:p w14:paraId="2066F7AA" w14:textId="77777777" w:rsidR="00037D52" w:rsidRDefault="00037D52" w:rsidP="00037D52">
      <w:pPr>
        <w:spacing w:after="0" w:line="240" w:lineRule="auto"/>
        <w:rPr>
          <w:b/>
        </w:rPr>
      </w:pPr>
      <w:r>
        <w:rPr>
          <w:b/>
        </w:rPr>
        <w:t>FAIMS (Federated Archaeological Information Management System)</w:t>
      </w:r>
    </w:p>
    <w:tbl>
      <w:tblPr>
        <w:tblStyle w:val="TableGrid"/>
        <w:tblW w:w="0" w:type="auto"/>
        <w:tblLook w:val="04A0" w:firstRow="1" w:lastRow="0" w:firstColumn="1" w:lastColumn="0" w:noHBand="0" w:noVBand="1"/>
      </w:tblPr>
      <w:tblGrid>
        <w:gridCol w:w="4508"/>
        <w:gridCol w:w="4508"/>
      </w:tblGrid>
      <w:tr w:rsidR="00037D52" w14:paraId="5FF3473C" w14:textId="77777777" w:rsidTr="00835856">
        <w:tc>
          <w:tcPr>
            <w:tcW w:w="4508" w:type="dxa"/>
            <w:tcBorders>
              <w:top w:val="single" w:sz="4" w:space="0" w:color="auto"/>
              <w:left w:val="single" w:sz="4" w:space="0" w:color="auto"/>
              <w:bottom w:val="single" w:sz="4" w:space="0" w:color="auto"/>
              <w:right w:val="single" w:sz="4" w:space="0" w:color="auto"/>
            </w:tcBorders>
            <w:hideMark/>
          </w:tcPr>
          <w:p w14:paraId="2937EE3B" w14:textId="54C3F687" w:rsidR="00037D52" w:rsidRDefault="00541A16" w:rsidP="00835856">
            <w:r>
              <w:t xml:space="preserve">A/Professor </w:t>
            </w:r>
            <w:r w:rsidR="00037D52">
              <w:t>Shawn Ross</w:t>
            </w:r>
          </w:p>
        </w:tc>
        <w:tc>
          <w:tcPr>
            <w:tcW w:w="4508" w:type="dxa"/>
            <w:tcBorders>
              <w:top w:val="single" w:sz="4" w:space="0" w:color="auto"/>
              <w:left w:val="single" w:sz="4" w:space="0" w:color="auto"/>
              <w:bottom w:val="single" w:sz="4" w:space="0" w:color="auto"/>
              <w:right w:val="single" w:sz="4" w:space="0" w:color="auto"/>
            </w:tcBorders>
            <w:hideMark/>
          </w:tcPr>
          <w:p w14:paraId="61BB0D1F" w14:textId="77777777" w:rsidR="00037D52" w:rsidRDefault="00037D52" w:rsidP="00835856">
            <w:r>
              <w:t>Project Director</w:t>
            </w:r>
          </w:p>
        </w:tc>
      </w:tr>
      <w:tr w:rsidR="00037D52" w14:paraId="4966ED11" w14:textId="77777777" w:rsidTr="00835856">
        <w:tc>
          <w:tcPr>
            <w:tcW w:w="4508" w:type="dxa"/>
            <w:tcBorders>
              <w:top w:val="single" w:sz="4" w:space="0" w:color="auto"/>
              <w:left w:val="single" w:sz="4" w:space="0" w:color="auto"/>
              <w:bottom w:val="single" w:sz="4" w:space="0" w:color="auto"/>
              <w:right w:val="single" w:sz="4" w:space="0" w:color="auto"/>
            </w:tcBorders>
            <w:hideMark/>
          </w:tcPr>
          <w:p w14:paraId="1300B4FF" w14:textId="5FD3A092" w:rsidR="00037D52" w:rsidRDefault="00541A16" w:rsidP="00835856">
            <w:r>
              <w:t xml:space="preserve">Dr </w:t>
            </w:r>
            <w:r w:rsidR="00037D52">
              <w:t>Adela Sobotkova</w:t>
            </w:r>
          </w:p>
        </w:tc>
        <w:tc>
          <w:tcPr>
            <w:tcW w:w="4508" w:type="dxa"/>
            <w:tcBorders>
              <w:top w:val="single" w:sz="4" w:space="0" w:color="auto"/>
              <w:left w:val="single" w:sz="4" w:space="0" w:color="auto"/>
              <w:bottom w:val="single" w:sz="4" w:space="0" w:color="auto"/>
              <w:right w:val="single" w:sz="4" w:space="0" w:color="auto"/>
            </w:tcBorders>
            <w:hideMark/>
          </w:tcPr>
          <w:p w14:paraId="1D2C5934" w14:textId="77777777" w:rsidR="00037D52" w:rsidRDefault="00037D52" w:rsidP="00835856">
            <w:r>
              <w:t>Development Coordinator</w:t>
            </w:r>
          </w:p>
        </w:tc>
      </w:tr>
      <w:tr w:rsidR="00037D52" w14:paraId="240A41FD" w14:textId="77777777" w:rsidTr="00835856">
        <w:tc>
          <w:tcPr>
            <w:tcW w:w="4508" w:type="dxa"/>
            <w:tcBorders>
              <w:top w:val="single" w:sz="4" w:space="0" w:color="auto"/>
              <w:left w:val="single" w:sz="4" w:space="0" w:color="auto"/>
              <w:bottom w:val="single" w:sz="4" w:space="0" w:color="auto"/>
              <w:right w:val="single" w:sz="4" w:space="0" w:color="auto"/>
            </w:tcBorders>
            <w:hideMark/>
          </w:tcPr>
          <w:p w14:paraId="0CA18277" w14:textId="5F767E2E" w:rsidR="00037D52" w:rsidRDefault="00541A16" w:rsidP="00835856">
            <w:r>
              <w:t xml:space="preserve">Dr </w:t>
            </w:r>
            <w:r w:rsidR="00037D52">
              <w:t>Brian Ballsun-Stanton</w:t>
            </w:r>
          </w:p>
        </w:tc>
        <w:tc>
          <w:tcPr>
            <w:tcW w:w="4508" w:type="dxa"/>
            <w:tcBorders>
              <w:top w:val="single" w:sz="4" w:space="0" w:color="auto"/>
              <w:left w:val="single" w:sz="4" w:space="0" w:color="auto"/>
              <w:bottom w:val="single" w:sz="4" w:space="0" w:color="auto"/>
              <w:right w:val="single" w:sz="4" w:space="0" w:color="auto"/>
            </w:tcBorders>
            <w:hideMark/>
          </w:tcPr>
          <w:p w14:paraId="2B16C82D" w14:textId="77777777" w:rsidR="00037D52" w:rsidRDefault="00037D52" w:rsidP="00835856">
            <w:r>
              <w:t>IT Leader</w:t>
            </w:r>
          </w:p>
        </w:tc>
      </w:tr>
    </w:tbl>
    <w:p w14:paraId="38924002" w14:textId="77777777" w:rsidR="00037D52" w:rsidRDefault="00037D52" w:rsidP="00037D52">
      <w:pPr>
        <w:spacing w:after="0" w:line="240" w:lineRule="auto"/>
      </w:pPr>
    </w:p>
    <w:p w14:paraId="5DAE4FF0" w14:textId="77777777" w:rsidR="00037D52" w:rsidRDefault="00037D52" w:rsidP="00037D52">
      <w:pPr>
        <w:spacing w:after="0" w:line="240" w:lineRule="auto"/>
      </w:pPr>
      <w:r>
        <w:t xml:space="preserve">Project Overview and Outcomes: </w:t>
      </w:r>
      <w:hyperlink r:id="rId52" w:history="1">
        <w:r>
          <w:rPr>
            <w:rStyle w:val="Hyperlink"/>
          </w:rPr>
          <w:t>https://www.fedarch.org/wordpress/</w:t>
        </w:r>
      </w:hyperlink>
      <w:r>
        <w:t xml:space="preserve"> </w:t>
      </w:r>
    </w:p>
    <w:p w14:paraId="033D8168" w14:textId="77777777" w:rsidR="00037D52" w:rsidRDefault="00037D52" w:rsidP="00037D52">
      <w:pPr>
        <w:spacing w:after="0" w:line="240" w:lineRule="auto"/>
      </w:pPr>
    </w:p>
    <w:p w14:paraId="699A36BD" w14:textId="77777777" w:rsidR="00037D52" w:rsidRDefault="00037D52" w:rsidP="00037D52">
      <w:pPr>
        <w:spacing w:after="0" w:line="240" w:lineRule="auto"/>
      </w:pPr>
    </w:p>
    <w:p w14:paraId="5C32E733" w14:textId="77777777" w:rsidR="00037D52" w:rsidRDefault="00037D52" w:rsidP="00037D52">
      <w:pPr>
        <w:spacing w:after="0" w:line="240" w:lineRule="auto"/>
        <w:rPr>
          <w:b/>
        </w:rPr>
      </w:pPr>
      <w:r>
        <w:rPr>
          <w:b/>
        </w:rPr>
        <w:t>WOMBAT (Work Observation Method by Activity Timing)</w:t>
      </w:r>
    </w:p>
    <w:tbl>
      <w:tblPr>
        <w:tblStyle w:val="TableGrid"/>
        <w:tblW w:w="0" w:type="auto"/>
        <w:tblLook w:val="04A0" w:firstRow="1" w:lastRow="0" w:firstColumn="1" w:lastColumn="0" w:noHBand="0" w:noVBand="1"/>
      </w:tblPr>
      <w:tblGrid>
        <w:gridCol w:w="4508"/>
        <w:gridCol w:w="4508"/>
      </w:tblGrid>
      <w:tr w:rsidR="00037D52" w14:paraId="667C2A31" w14:textId="77777777" w:rsidTr="00835856">
        <w:tc>
          <w:tcPr>
            <w:tcW w:w="4508" w:type="dxa"/>
            <w:tcBorders>
              <w:top w:val="single" w:sz="4" w:space="0" w:color="auto"/>
              <w:left w:val="single" w:sz="4" w:space="0" w:color="auto"/>
              <w:bottom w:val="single" w:sz="4" w:space="0" w:color="auto"/>
              <w:right w:val="single" w:sz="4" w:space="0" w:color="auto"/>
            </w:tcBorders>
            <w:hideMark/>
          </w:tcPr>
          <w:p w14:paraId="27DC67A5" w14:textId="2991F526" w:rsidR="00037D52" w:rsidRDefault="00037D52" w:rsidP="00835856">
            <w:r>
              <w:lastRenderedPageBreak/>
              <w:t>Prof</w:t>
            </w:r>
            <w:r w:rsidR="00541A16">
              <w:t>essor</w:t>
            </w:r>
            <w:r>
              <w:t xml:space="preserve"> Joanna Westbrook</w:t>
            </w:r>
          </w:p>
        </w:tc>
        <w:tc>
          <w:tcPr>
            <w:tcW w:w="4508" w:type="dxa"/>
            <w:tcBorders>
              <w:top w:val="single" w:sz="4" w:space="0" w:color="auto"/>
              <w:left w:val="single" w:sz="4" w:space="0" w:color="auto"/>
              <w:bottom w:val="single" w:sz="4" w:space="0" w:color="auto"/>
              <w:right w:val="single" w:sz="4" w:space="0" w:color="auto"/>
            </w:tcBorders>
            <w:hideMark/>
          </w:tcPr>
          <w:p w14:paraId="4D80EFCB" w14:textId="77777777" w:rsidR="00037D52" w:rsidRDefault="00037D52" w:rsidP="00835856">
            <w:r>
              <w:t>Director</w:t>
            </w:r>
          </w:p>
        </w:tc>
      </w:tr>
    </w:tbl>
    <w:p w14:paraId="446B85C6" w14:textId="77777777" w:rsidR="00037D52" w:rsidRDefault="00037D52" w:rsidP="00037D52">
      <w:pPr>
        <w:spacing w:after="0" w:line="240" w:lineRule="auto"/>
      </w:pPr>
    </w:p>
    <w:p w14:paraId="6BF7CCF3" w14:textId="77777777" w:rsidR="00037D52" w:rsidRDefault="00037D52" w:rsidP="00037D52">
      <w:pPr>
        <w:spacing w:after="0" w:line="240" w:lineRule="auto"/>
      </w:pPr>
      <w:r>
        <w:t xml:space="preserve">Project Overview: </w:t>
      </w:r>
      <w:hyperlink r:id="rId53" w:history="1">
        <w:r>
          <w:rPr>
            <w:rStyle w:val="Hyperlink"/>
          </w:rPr>
          <w:t>http://aihi.mq.edu.au/project/wombat-work-observation-method-activity-timing</w:t>
        </w:r>
      </w:hyperlink>
      <w:r>
        <w:t xml:space="preserve"> </w:t>
      </w:r>
    </w:p>
    <w:p w14:paraId="1C7E862F" w14:textId="77777777" w:rsidR="00037D52" w:rsidRDefault="00037D52" w:rsidP="00037D52">
      <w:pPr>
        <w:spacing w:after="0" w:line="240" w:lineRule="auto"/>
      </w:pPr>
    </w:p>
    <w:p w14:paraId="3CEE6EF3" w14:textId="77777777" w:rsidR="00037D52" w:rsidRDefault="00037D52" w:rsidP="00037D52">
      <w:pPr>
        <w:spacing w:after="0" w:line="240" w:lineRule="auto"/>
      </w:pPr>
    </w:p>
    <w:p w14:paraId="22232AC2" w14:textId="77777777" w:rsidR="00037D52" w:rsidRDefault="00037D52" w:rsidP="00037D52">
      <w:pPr>
        <w:spacing w:after="0" w:line="240" w:lineRule="auto"/>
      </w:pPr>
      <w:r>
        <w:rPr>
          <w:b/>
        </w:rPr>
        <w:t>ANDS Human Chr7 Proteomics Integration Project (Monash University)</w:t>
      </w:r>
    </w:p>
    <w:tbl>
      <w:tblPr>
        <w:tblStyle w:val="TableGrid"/>
        <w:tblW w:w="0" w:type="auto"/>
        <w:tblLook w:val="04A0" w:firstRow="1" w:lastRow="0" w:firstColumn="1" w:lastColumn="0" w:noHBand="0" w:noVBand="1"/>
      </w:tblPr>
      <w:tblGrid>
        <w:gridCol w:w="4508"/>
        <w:gridCol w:w="4508"/>
      </w:tblGrid>
      <w:tr w:rsidR="00037D52" w14:paraId="30E2949F" w14:textId="77777777" w:rsidTr="00835856">
        <w:tc>
          <w:tcPr>
            <w:tcW w:w="4508" w:type="dxa"/>
            <w:tcBorders>
              <w:top w:val="single" w:sz="4" w:space="0" w:color="auto"/>
              <w:left w:val="single" w:sz="4" w:space="0" w:color="auto"/>
              <w:bottom w:val="single" w:sz="4" w:space="0" w:color="auto"/>
              <w:right w:val="single" w:sz="4" w:space="0" w:color="auto"/>
            </w:tcBorders>
            <w:hideMark/>
          </w:tcPr>
          <w:p w14:paraId="3A2C1D15" w14:textId="61A24730" w:rsidR="00037D52" w:rsidRDefault="00541A16" w:rsidP="00835856">
            <w:r>
              <w:t xml:space="preserve">Professor </w:t>
            </w:r>
            <w:r w:rsidR="00037D52">
              <w:t>Mark Baker</w:t>
            </w:r>
          </w:p>
        </w:tc>
        <w:tc>
          <w:tcPr>
            <w:tcW w:w="4508" w:type="dxa"/>
            <w:tcBorders>
              <w:top w:val="single" w:sz="4" w:space="0" w:color="auto"/>
              <w:left w:val="single" w:sz="4" w:space="0" w:color="auto"/>
              <w:bottom w:val="single" w:sz="4" w:space="0" w:color="auto"/>
              <w:right w:val="single" w:sz="4" w:space="0" w:color="auto"/>
            </w:tcBorders>
          </w:tcPr>
          <w:p w14:paraId="496488D8" w14:textId="431D8DD9" w:rsidR="00037D52" w:rsidRDefault="004A4EE9" w:rsidP="00835856">
            <w:r>
              <w:t>Collaborator</w:t>
            </w:r>
          </w:p>
        </w:tc>
      </w:tr>
      <w:tr w:rsidR="00037D52" w14:paraId="2A743597" w14:textId="77777777" w:rsidTr="00835856">
        <w:tc>
          <w:tcPr>
            <w:tcW w:w="4508" w:type="dxa"/>
            <w:tcBorders>
              <w:top w:val="single" w:sz="4" w:space="0" w:color="auto"/>
              <w:left w:val="single" w:sz="4" w:space="0" w:color="auto"/>
              <w:bottom w:val="single" w:sz="4" w:space="0" w:color="auto"/>
              <w:right w:val="single" w:sz="4" w:space="0" w:color="auto"/>
            </w:tcBorders>
            <w:hideMark/>
          </w:tcPr>
          <w:p w14:paraId="7F6C5C8B" w14:textId="7DE5B15B" w:rsidR="00037D52" w:rsidRDefault="00541A16" w:rsidP="00835856">
            <w:r>
              <w:t xml:space="preserve">Professor </w:t>
            </w:r>
            <w:r w:rsidR="00037D52">
              <w:t>Nicolle Packer</w:t>
            </w:r>
          </w:p>
        </w:tc>
        <w:tc>
          <w:tcPr>
            <w:tcW w:w="4508" w:type="dxa"/>
            <w:tcBorders>
              <w:top w:val="single" w:sz="4" w:space="0" w:color="auto"/>
              <w:left w:val="single" w:sz="4" w:space="0" w:color="auto"/>
              <w:bottom w:val="single" w:sz="4" w:space="0" w:color="auto"/>
              <w:right w:val="single" w:sz="4" w:space="0" w:color="auto"/>
            </w:tcBorders>
          </w:tcPr>
          <w:p w14:paraId="7B2736F4" w14:textId="5FD796FF" w:rsidR="00037D52" w:rsidRDefault="004A4EE9" w:rsidP="00835856">
            <w:r>
              <w:t>Collaborator</w:t>
            </w:r>
          </w:p>
        </w:tc>
      </w:tr>
    </w:tbl>
    <w:p w14:paraId="47389A93" w14:textId="77777777" w:rsidR="00037D52" w:rsidRDefault="00037D52" w:rsidP="00037D52">
      <w:pPr>
        <w:spacing w:after="0" w:line="240" w:lineRule="auto"/>
      </w:pPr>
    </w:p>
    <w:p w14:paraId="618EE67F" w14:textId="77777777" w:rsidR="00037D52" w:rsidRDefault="00037D52" w:rsidP="00037D52">
      <w:pPr>
        <w:spacing w:after="0" w:line="240" w:lineRule="auto"/>
      </w:pPr>
      <w:r>
        <w:t xml:space="preserve">Project Overview </w:t>
      </w:r>
      <w:hyperlink r:id="rId54" w:history="1">
        <w:r>
          <w:rPr>
            <w:rStyle w:val="Hyperlink"/>
          </w:rPr>
          <w:t>https://projects.ands.org.au/id/AP32</w:t>
        </w:r>
      </w:hyperlink>
      <w:r>
        <w:t xml:space="preserve"> </w:t>
      </w:r>
    </w:p>
    <w:p w14:paraId="422D81F5" w14:textId="77777777" w:rsidR="00037D52" w:rsidRDefault="00037D52" w:rsidP="00037D52">
      <w:pPr>
        <w:spacing w:after="0" w:line="240" w:lineRule="auto"/>
      </w:pPr>
      <w:r>
        <w:t xml:space="preserve">Project Outcomes </w:t>
      </w:r>
      <w:hyperlink r:id="rId55" w:history="1">
        <w:r>
          <w:rPr>
            <w:rStyle w:val="Hyperlink"/>
          </w:rPr>
          <w:t>http://www.ozhupohpp7.com/home</w:t>
        </w:r>
      </w:hyperlink>
      <w:r>
        <w:t xml:space="preserve"> &amp; </w:t>
      </w:r>
    </w:p>
    <w:p w14:paraId="66DF7C74" w14:textId="77777777" w:rsidR="00037D52" w:rsidRDefault="001C7E59" w:rsidP="00037D52">
      <w:pPr>
        <w:spacing w:after="0" w:line="240" w:lineRule="auto"/>
      </w:pPr>
      <w:hyperlink r:id="rId56" w:history="1">
        <w:r w:rsidR="00037D52">
          <w:rPr>
            <w:rStyle w:val="Hyperlink"/>
          </w:rPr>
          <w:t>https://researchdata.ands.org.au/the-proteome-browser/11319</w:t>
        </w:r>
      </w:hyperlink>
      <w:r w:rsidR="00037D52">
        <w:t xml:space="preserve"> </w:t>
      </w:r>
    </w:p>
    <w:p w14:paraId="26B64FED" w14:textId="77777777" w:rsidR="00037D52" w:rsidRDefault="00037D52" w:rsidP="00037D52">
      <w:pPr>
        <w:spacing w:after="0" w:line="240" w:lineRule="auto"/>
      </w:pPr>
    </w:p>
    <w:p w14:paraId="3B24EC26" w14:textId="77777777" w:rsidR="00037D52" w:rsidRDefault="00037D52" w:rsidP="00037D52">
      <w:pPr>
        <w:spacing w:after="0" w:line="240" w:lineRule="auto"/>
      </w:pPr>
    </w:p>
    <w:p w14:paraId="1284385D" w14:textId="77777777" w:rsidR="00037D52" w:rsidRDefault="00037D52" w:rsidP="00037D52">
      <w:pPr>
        <w:spacing w:after="0" w:line="240" w:lineRule="auto"/>
      </w:pPr>
      <w:r>
        <w:rPr>
          <w:b/>
        </w:rPr>
        <w:t>ANDS Australian National Corpus (Griffith University)</w:t>
      </w:r>
    </w:p>
    <w:tbl>
      <w:tblPr>
        <w:tblStyle w:val="TableGrid"/>
        <w:tblW w:w="0" w:type="auto"/>
        <w:tblLook w:val="04A0" w:firstRow="1" w:lastRow="0" w:firstColumn="1" w:lastColumn="0" w:noHBand="0" w:noVBand="1"/>
      </w:tblPr>
      <w:tblGrid>
        <w:gridCol w:w="4508"/>
        <w:gridCol w:w="4508"/>
      </w:tblGrid>
      <w:tr w:rsidR="00037D52" w14:paraId="32EAA089" w14:textId="77777777" w:rsidTr="00835856">
        <w:tc>
          <w:tcPr>
            <w:tcW w:w="4508" w:type="dxa"/>
            <w:tcBorders>
              <w:top w:val="single" w:sz="4" w:space="0" w:color="auto"/>
              <w:left w:val="single" w:sz="4" w:space="0" w:color="auto"/>
              <w:bottom w:val="single" w:sz="4" w:space="0" w:color="auto"/>
              <w:right w:val="single" w:sz="4" w:space="0" w:color="auto"/>
            </w:tcBorders>
            <w:hideMark/>
          </w:tcPr>
          <w:p w14:paraId="7572F0FE" w14:textId="6FD1E099" w:rsidR="00037D52" w:rsidRDefault="008E50EE" w:rsidP="00835856">
            <w:r>
              <w:t>A/Prof</w:t>
            </w:r>
            <w:r w:rsidR="00541A16">
              <w:t>essor</w:t>
            </w:r>
            <w:r>
              <w:t xml:space="preserve"> </w:t>
            </w:r>
            <w:r w:rsidR="00037D52">
              <w:t>Steve Cassidy</w:t>
            </w:r>
          </w:p>
        </w:tc>
        <w:tc>
          <w:tcPr>
            <w:tcW w:w="4508" w:type="dxa"/>
            <w:tcBorders>
              <w:top w:val="single" w:sz="4" w:space="0" w:color="auto"/>
              <w:left w:val="single" w:sz="4" w:space="0" w:color="auto"/>
              <w:bottom w:val="single" w:sz="4" w:space="0" w:color="auto"/>
              <w:right w:val="single" w:sz="4" w:space="0" w:color="auto"/>
            </w:tcBorders>
          </w:tcPr>
          <w:p w14:paraId="55943CBA" w14:textId="18F6C023" w:rsidR="00037D52" w:rsidRDefault="004A4EE9" w:rsidP="00835856">
            <w:r>
              <w:t>Collaborator</w:t>
            </w:r>
          </w:p>
        </w:tc>
      </w:tr>
    </w:tbl>
    <w:p w14:paraId="6E1D6FFF" w14:textId="77777777" w:rsidR="00037D52" w:rsidRDefault="00037D52" w:rsidP="00037D52">
      <w:pPr>
        <w:spacing w:after="0" w:line="240" w:lineRule="auto"/>
      </w:pPr>
    </w:p>
    <w:p w14:paraId="7A5E8DBB" w14:textId="77777777" w:rsidR="00037D52" w:rsidRDefault="00037D52" w:rsidP="00037D52">
      <w:pPr>
        <w:spacing w:after="0" w:line="240" w:lineRule="auto"/>
      </w:pPr>
      <w:r>
        <w:t xml:space="preserve">Project Overview </w:t>
      </w:r>
      <w:hyperlink r:id="rId57" w:history="1">
        <w:r>
          <w:rPr>
            <w:rStyle w:val="Hyperlink"/>
          </w:rPr>
          <w:t>https://projects.ands.org.au/id/NCRIS012</w:t>
        </w:r>
      </w:hyperlink>
      <w:r>
        <w:t xml:space="preserve"> </w:t>
      </w:r>
    </w:p>
    <w:p w14:paraId="18704821" w14:textId="77777777" w:rsidR="00037D52" w:rsidRDefault="00037D52" w:rsidP="00037D52">
      <w:pPr>
        <w:spacing w:after="0" w:line="240" w:lineRule="auto"/>
      </w:pPr>
      <w:r>
        <w:t xml:space="preserve">Project Outcomes </w:t>
      </w:r>
      <w:hyperlink r:id="rId58" w:history="1">
        <w:r>
          <w:rPr>
            <w:rStyle w:val="Hyperlink"/>
          </w:rPr>
          <w:t>https://www.ausnc.org.au/</w:t>
        </w:r>
      </w:hyperlink>
      <w:r>
        <w:t xml:space="preserve"> </w:t>
      </w:r>
    </w:p>
    <w:p w14:paraId="268BE3F2" w14:textId="77777777" w:rsidR="00037D52" w:rsidRDefault="00037D52" w:rsidP="00037D52">
      <w:pPr>
        <w:spacing w:after="0" w:line="240" w:lineRule="auto"/>
      </w:pPr>
    </w:p>
    <w:p w14:paraId="5FB4791A" w14:textId="77777777" w:rsidR="00037D52" w:rsidRDefault="00037D52" w:rsidP="00037D52">
      <w:pPr>
        <w:spacing w:after="0" w:line="240" w:lineRule="auto"/>
        <w:rPr>
          <w:b/>
        </w:rPr>
      </w:pPr>
      <w:r>
        <w:rPr>
          <w:b/>
        </w:rPr>
        <w:t>Software Carpentry – volunteer trainers</w:t>
      </w:r>
    </w:p>
    <w:tbl>
      <w:tblPr>
        <w:tblStyle w:val="TableGrid"/>
        <w:tblW w:w="0" w:type="auto"/>
        <w:tblLook w:val="04A0" w:firstRow="1" w:lastRow="0" w:firstColumn="1" w:lastColumn="0" w:noHBand="0" w:noVBand="1"/>
      </w:tblPr>
      <w:tblGrid>
        <w:gridCol w:w="4508"/>
        <w:gridCol w:w="4508"/>
      </w:tblGrid>
      <w:tr w:rsidR="00037D52" w14:paraId="2EFE508D" w14:textId="77777777" w:rsidTr="00835856">
        <w:tc>
          <w:tcPr>
            <w:tcW w:w="4508" w:type="dxa"/>
            <w:tcBorders>
              <w:top w:val="single" w:sz="4" w:space="0" w:color="auto"/>
              <w:left w:val="single" w:sz="4" w:space="0" w:color="auto"/>
              <w:bottom w:val="single" w:sz="4" w:space="0" w:color="auto"/>
              <w:right w:val="single" w:sz="4" w:space="0" w:color="auto"/>
            </w:tcBorders>
            <w:hideMark/>
          </w:tcPr>
          <w:p w14:paraId="2996D182" w14:textId="7B8589EB" w:rsidR="00037D52" w:rsidRDefault="008E50EE" w:rsidP="00835856">
            <w:r>
              <w:t xml:space="preserve">Dr </w:t>
            </w:r>
            <w:r w:rsidR="00037D52">
              <w:t>Josh</w:t>
            </w:r>
            <w:r>
              <w:t>ua</w:t>
            </w:r>
            <w:r w:rsidR="00037D52">
              <w:t xml:space="preserve"> </w:t>
            </w:r>
            <w:proofErr w:type="spellStart"/>
            <w:r w:rsidR="00037D52">
              <w:t>Madin</w:t>
            </w:r>
            <w:proofErr w:type="spellEnd"/>
          </w:p>
        </w:tc>
        <w:tc>
          <w:tcPr>
            <w:tcW w:w="4508" w:type="dxa"/>
            <w:tcBorders>
              <w:top w:val="single" w:sz="4" w:space="0" w:color="auto"/>
              <w:left w:val="single" w:sz="4" w:space="0" w:color="auto"/>
              <w:bottom w:val="single" w:sz="4" w:space="0" w:color="auto"/>
              <w:right w:val="single" w:sz="4" w:space="0" w:color="auto"/>
            </w:tcBorders>
          </w:tcPr>
          <w:p w14:paraId="19F033C2" w14:textId="30146123" w:rsidR="00037D52" w:rsidRDefault="008E50EE" w:rsidP="00835856">
            <w:r>
              <w:t>Volunteer Trainer</w:t>
            </w:r>
          </w:p>
        </w:tc>
      </w:tr>
      <w:tr w:rsidR="00037D52" w14:paraId="68AE662C" w14:textId="77777777" w:rsidTr="00835856">
        <w:tc>
          <w:tcPr>
            <w:tcW w:w="4508" w:type="dxa"/>
            <w:tcBorders>
              <w:top w:val="single" w:sz="4" w:space="0" w:color="auto"/>
              <w:left w:val="single" w:sz="4" w:space="0" w:color="auto"/>
              <w:bottom w:val="single" w:sz="4" w:space="0" w:color="auto"/>
              <w:right w:val="single" w:sz="4" w:space="0" w:color="auto"/>
            </w:tcBorders>
            <w:hideMark/>
          </w:tcPr>
          <w:p w14:paraId="6D64F81A" w14:textId="4D08E5B8" w:rsidR="00037D52" w:rsidRDefault="008E50EE" w:rsidP="00835856">
            <w:r>
              <w:t xml:space="preserve">Dr </w:t>
            </w:r>
            <w:r w:rsidR="00037D52">
              <w:t>Daniel Falster</w:t>
            </w:r>
          </w:p>
        </w:tc>
        <w:tc>
          <w:tcPr>
            <w:tcW w:w="4508" w:type="dxa"/>
            <w:tcBorders>
              <w:top w:val="single" w:sz="4" w:space="0" w:color="auto"/>
              <w:left w:val="single" w:sz="4" w:space="0" w:color="auto"/>
              <w:bottom w:val="single" w:sz="4" w:space="0" w:color="auto"/>
              <w:right w:val="single" w:sz="4" w:space="0" w:color="auto"/>
            </w:tcBorders>
          </w:tcPr>
          <w:p w14:paraId="558EF734" w14:textId="46B1CA7F" w:rsidR="00037D52" w:rsidRDefault="008E50EE" w:rsidP="00835856">
            <w:r>
              <w:t>Volunteer Trainer</w:t>
            </w:r>
          </w:p>
        </w:tc>
      </w:tr>
      <w:tr w:rsidR="00037D52" w14:paraId="2BC1DECB" w14:textId="77777777" w:rsidTr="00835856">
        <w:tc>
          <w:tcPr>
            <w:tcW w:w="4508" w:type="dxa"/>
            <w:tcBorders>
              <w:top w:val="single" w:sz="4" w:space="0" w:color="auto"/>
              <w:left w:val="single" w:sz="4" w:space="0" w:color="auto"/>
              <w:bottom w:val="single" w:sz="4" w:space="0" w:color="auto"/>
              <w:right w:val="single" w:sz="4" w:space="0" w:color="auto"/>
            </w:tcBorders>
            <w:hideMark/>
          </w:tcPr>
          <w:p w14:paraId="561D0D19" w14:textId="5C774868" w:rsidR="00037D52" w:rsidRDefault="008E50EE" w:rsidP="00835856">
            <w:r>
              <w:t xml:space="preserve">Dr </w:t>
            </w:r>
            <w:r w:rsidR="00037D52">
              <w:t>Rich</w:t>
            </w:r>
            <w:r>
              <w:t>ard</w:t>
            </w:r>
            <w:r w:rsidR="00037D52">
              <w:t xml:space="preserve"> </w:t>
            </w:r>
            <w:proofErr w:type="spellStart"/>
            <w:r w:rsidR="00037D52">
              <w:t>FitzJohn</w:t>
            </w:r>
            <w:proofErr w:type="spellEnd"/>
          </w:p>
        </w:tc>
        <w:tc>
          <w:tcPr>
            <w:tcW w:w="4508" w:type="dxa"/>
            <w:tcBorders>
              <w:top w:val="single" w:sz="4" w:space="0" w:color="auto"/>
              <w:left w:val="single" w:sz="4" w:space="0" w:color="auto"/>
              <w:bottom w:val="single" w:sz="4" w:space="0" w:color="auto"/>
              <w:right w:val="single" w:sz="4" w:space="0" w:color="auto"/>
            </w:tcBorders>
          </w:tcPr>
          <w:p w14:paraId="338C6315" w14:textId="2DB24626" w:rsidR="00037D52" w:rsidRDefault="008E50EE" w:rsidP="00835856">
            <w:r>
              <w:t>Volunteer Trainer</w:t>
            </w:r>
          </w:p>
        </w:tc>
      </w:tr>
      <w:tr w:rsidR="00037D52" w14:paraId="6C39CBDE" w14:textId="77777777" w:rsidTr="00835856">
        <w:tc>
          <w:tcPr>
            <w:tcW w:w="4508" w:type="dxa"/>
            <w:tcBorders>
              <w:top w:val="single" w:sz="4" w:space="0" w:color="auto"/>
              <w:left w:val="single" w:sz="4" w:space="0" w:color="auto"/>
              <w:bottom w:val="single" w:sz="4" w:space="0" w:color="auto"/>
              <w:right w:val="single" w:sz="4" w:space="0" w:color="auto"/>
            </w:tcBorders>
            <w:hideMark/>
          </w:tcPr>
          <w:p w14:paraId="478CD422" w14:textId="485DB94E" w:rsidR="00037D52" w:rsidRDefault="008E50EE" w:rsidP="00835856">
            <w:r>
              <w:t xml:space="preserve">Dr </w:t>
            </w:r>
            <w:r w:rsidR="00037D52">
              <w:t>Dan Warren</w:t>
            </w:r>
          </w:p>
        </w:tc>
        <w:tc>
          <w:tcPr>
            <w:tcW w:w="4508" w:type="dxa"/>
            <w:tcBorders>
              <w:top w:val="single" w:sz="4" w:space="0" w:color="auto"/>
              <w:left w:val="single" w:sz="4" w:space="0" w:color="auto"/>
              <w:bottom w:val="single" w:sz="4" w:space="0" w:color="auto"/>
              <w:right w:val="single" w:sz="4" w:space="0" w:color="auto"/>
            </w:tcBorders>
          </w:tcPr>
          <w:p w14:paraId="00B2F3A6" w14:textId="2B39FBBE" w:rsidR="00037D52" w:rsidRDefault="008E50EE" w:rsidP="00835856">
            <w:r>
              <w:t>Volunteer Trainer</w:t>
            </w:r>
          </w:p>
        </w:tc>
      </w:tr>
      <w:tr w:rsidR="008E50EE" w14:paraId="4289BFA0" w14:textId="77777777" w:rsidTr="008E50EE">
        <w:tc>
          <w:tcPr>
            <w:tcW w:w="4508" w:type="dxa"/>
            <w:hideMark/>
          </w:tcPr>
          <w:p w14:paraId="175F9DD8" w14:textId="494C1790" w:rsidR="008E50EE" w:rsidRDefault="00541A16" w:rsidP="006B0AD6">
            <w:r>
              <w:t xml:space="preserve">Mr </w:t>
            </w:r>
            <w:r w:rsidR="008E50EE">
              <w:t xml:space="preserve">Diego </w:t>
            </w:r>
            <w:proofErr w:type="spellStart"/>
            <w:r w:rsidR="008E50EE">
              <w:t>Barneche</w:t>
            </w:r>
            <w:proofErr w:type="spellEnd"/>
            <w:r w:rsidR="008E50EE">
              <w:t xml:space="preserve"> </w:t>
            </w:r>
          </w:p>
        </w:tc>
        <w:tc>
          <w:tcPr>
            <w:tcW w:w="4508" w:type="dxa"/>
          </w:tcPr>
          <w:p w14:paraId="4A373219" w14:textId="6A8CA149" w:rsidR="008E50EE" w:rsidRDefault="008E50EE" w:rsidP="006B0AD6">
            <w:r>
              <w:t>HDR Candidate, Volunteer Trainer</w:t>
            </w:r>
          </w:p>
        </w:tc>
      </w:tr>
    </w:tbl>
    <w:p w14:paraId="004EF612" w14:textId="77777777" w:rsidR="00037D52" w:rsidRDefault="00037D52" w:rsidP="00037D52">
      <w:pPr>
        <w:spacing w:after="0" w:line="240" w:lineRule="auto"/>
      </w:pPr>
    </w:p>
    <w:p w14:paraId="7042B746" w14:textId="77777777" w:rsidR="00037D52" w:rsidRDefault="00037D52" w:rsidP="00037D52">
      <w:pPr>
        <w:spacing w:after="0" w:line="240" w:lineRule="auto"/>
      </w:pPr>
      <w:r>
        <w:t xml:space="preserve">Project overview: </w:t>
      </w:r>
      <w:hyperlink r:id="rId59" w:history="1">
        <w:r>
          <w:rPr>
            <w:rStyle w:val="Hyperlink"/>
          </w:rPr>
          <w:t>http://software-carpentry.org/</w:t>
        </w:r>
      </w:hyperlink>
      <w:r>
        <w:t xml:space="preserve"> </w:t>
      </w:r>
    </w:p>
    <w:p w14:paraId="4A7DF51D" w14:textId="77777777" w:rsidR="00037D52" w:rsidRDefault="00037D52" w:rsidP="00037D52"/>
    <w:p w14:paraId="5D3124FD" w14:textId="77777777" w:rsidR="00037D52" w:rsidRDefault="00037D52" w:rsidP="00037D52"/>
    <w:p w14:paraId="4164D461" w14:textId="77777777" w:rsidR="00037D52" w:rsidRDefault="00037D52" w:rsidP="00037D52"/>
    <w:p w14:paraId="5434583E" w14:textId="45A594D9" w:rsidR="00037D52" w:rsidRDefault="005F184B" w:rsidP="00016A5C">
      <w:pPr>
        <w:jc w:val="center"/>
      </w:pPr>
      <w:r>
        <w:t xml:space="preserve">This list highlights the projects and activities raised during the initial </w:t>
      </w:r>
      <w:proofErr w:type="spellStart"/>
      <w:r>
        <w:t>eResearch</w:t>
      </w:r>
      <w:proofErr w:type="spellEnd"/>
      <w:r>
        <w:t xml:space="preserve"> strategy consultation phase in 2015.</w:t>
      </w:r>
    </w:p>
    <w:p w14:paraId="772A158A" w14:textId="5B797752" w:rsidR="00037D52" w:rsidRDefault="00037D52" w:rsidP="00016A5C">
      <w:pPr>
        <w:jc w:val="center"/>
      </w:pPr>
      <w:r>
        <w:t xml:space="preserve">We welcome </w:t>
      </w:r>
      <w:r w:rsidR="005F184B">
        <w:t xml:space="preserve">further </w:t>
      </w:r>
      <w:r>
        <w:t>input to this list.</w:t>
      </w:r>
    </w:p>
    <w:p w14:paraId="33E605C0" w14:textId="64A0290F" w:rsidR="00722A50" w:rsidRDefault="00037D52" w:rsidP="00016A5C">
      <w:pPr>
        <w:jc w:val="center"/>
      </w:pPr>
      <w:r>
        <w:t xml:space="preserve">Please provide details of </w:t>
      </w:r>
      <w:proofErr w:type="spellStart"/>
      <w:r>
        <w:t>eResearch</w:t>
      </w:r>
      <w:proofErr w:type="spellEnd"/>
      <w:r>
        <w:t xml:space="preserve"> projects or activity to Emily Brennan, PVCR Project Coordinator (</w:t>
      </w:r>
      <w:hyperlink r:id="rId60" w:history="1">
        <w:r w:rsidRPr="00483FCD">
          <w:rPr>
            <w:rStyle w:val="Hyperlink"/>
          </w:rPr>
          <w:t>emily.brennan@mq.edu.au</w:t>
        </w:r>
      </w:hyperlink>
      <w:r w:rsidR="0028151E">
        <w:t>)</w:t>
      </w:r>
    </w:p>
    <w:p w14:paraId="1A7771A4" w14:textId="4B7D1051" w:rsidR="00722A50" w:rsidRPr="009750C9" w:rsidRDefault="00722A50"/>
    <w:sectPr w:rsidR="00722A50" w:rsidRPr="009750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B673B" w14:textId="77777777" w:rsidR="004C5FBE" w:rsidRDefault="004C5FBE" w:rsidP="00EF5B3F">
      <w:pPr>
        <w:spacing w:after="0" w:line="240" w:lineRule="auto"/>
      </w:pPr>
      <w:r>
        <w:separator/>
      </w:r>
    </w:p>
  </w:endnote>
  <w:endnote w:type="continuationSeparator" w:id="0">
    <w:p w14:paraId="18C9B92E" w14:textId="77777777" w:rsidR="004C5FBE" w:rsidRDefault="004C5FBE" w:rsidP="00EF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92201"/>
      <w:docPartObj>
        <w:docPartGallery w:val="Page Numbers (Bottom of Page)"/>
        <w:docPartUnique/>
      </w:docPartObj>
    </w:sdtPr>
    <w:sdtEndPr>
      <w:rPr>
        <w:noProof/>
      </w:rPr>
    </w:sdtEndPr>
    <w:sdtContent>
      <w:p w14:paraId="47E417A4" w14:textId="77777777" w:rsidR="004C5FBE" w:rsidRDefault="004C5FBE">
        <w:pPr>
          <w:pStyle w:val="Footer"/>
        </w:pPr>
        <w:r>
          <w:fldChar w:fldCharType="begin"/>
        </w:r>
        <w:r>
          <w:instrText xml:space="preserve"> PAGE   \* MERGEFORMAT </w:instrText>
        </w:r>
        <w:r>
          <w:fldChar w:fldCharType="separate"/>
        </w:r>
        <w:r w:rsidR="001C7E59">
          <w:rPr>
            <w:noProof/>
          </w:rPr>
          <w:t>29</w:t>
        </w:r>
        <w:r>
          <w:rPr>
            <w:noProof/>
          </w:rPr>
          <w:fldChar w:fldCharType="end"/>
        </w:r>
      </w:p>
    </w:sdtContent>
  </w:sdt>
  <w:p w14:paraId="146BBCBB" w14:textId="77777777" w:rsidR="004C5FBE" w:rsidRDefault="004C5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150C1" w14:textId="77777777" w:rsidR="004C5FBE" w:rsidRDefault="004C5FBE" w:rsidP="00EF5B3F">
      <w:pPr>
        <w:spacing w:after="0" w:line="240" w:lineRule="auto"/>
      </w:pPr>
      <w:r>
        <w:separator/>
      </w:r>
    </w:p>
  </w:footnote>
  <w:footnote w:type="continuationSeparator" w:id="0">
    <w:p w14:paraId="5D0481E8" w14:textId="77777777" w:rsidR="004C5FBE" w:rsidRDefault="004C5FBE" w:rsidP="00EF5B3F">
      <w:pPr>
        <w:spacing w:after="0" w:line="240" w:lineRule="auto"/>
      </w:pPr>
      <w:r>
        <w:continuationSeparator/>
      </w:r>
    </w:p>
  </w:footnote>
  <w:footnote w:id="1">
    <w:p w14:paraId="399C39AB" w14:textId="6594621A" w:rsidR="004C5FBE" w:rsidRDefault="004C5FBE">
      <w:pPr>
        <w:pStyle w:val="FootnoteText"/>
      </w:pPr>
      <w:r w:rsidRPr="007C487B">
        <w:rPr>
          <w:rStyle w:val="FootnoteReference"/>
        </w:rPr>
        <w:footnoteRef/>
      </w:r>
      <w:r w:rsidRPr="007C487B">
        <w:t xml:space="preserve"> Accelerate</w:t>
      </w:r>
      <w:r>
        <w:t xml:space="preserve"> world-leading research performance; Prepare world-ready higher degree research candidates; Engage as a world-recognised research collaborator of choice; Deliver research with world-changing impact.</w:t>
      </w:r>
    </w:p>
  </w:footnote>
  <w:footnote w:id="2">
    <w:p w14:paraId="5DDDB374" w14:textId="0F326345" w:rsidR="004C5FBE" w:rsidRDefault="004C5FBE">
      <w:pPr>
        <w:pStyle w:val="FootnoteText"/>
      </w:pPr>
      <w:r>
        <w:rPr>
          <w:rStyle w:val="FootnoteReference"/>
        </w:rPr>
        <w:footnoteRef/>
      </w:r>
      <w:r>
        <w:t xml:space="preserve"> </w:t>
      </w:r>
      <w:r w:rsidRPr="00DF5021">
        <w:t>http://mq.edu.au/our-university/</w:t>
      </w:r>
    </w:p>
  </w:footnote>
  <w:footnote w:id="3">
    <w:p w14:paraId="026A734B" w14:textId="1CA56324" w:rsidR="004C5FBE" w:rsidRPr="00942342" w:rsidRDefault="004C5FBE" w:rsidP="00F72EBA">
      <w:pPr>
        <w:pStyle w:val="FootnoteText"/>
        <w:rPr>
          <w:lang w:val="en-US"/>
        </w:rPr>
      </w:pPr>
      <w:r>
        <w:rPr>
          <w:rStyle w:val="FootnoteReference"/>
        </w:rPr>
        <w:footnoteRef/>
      </w:r>
      <w:r>
        <w:t xml:space="preserve"> </w:t>
      </w:r>
      <w:r>
        <w:rPr>
          <w:lang w:val="en-US"/>
        </w:rPr>
        <w:t>High Performance Computing</w:t>
      </w:r>
    </w:p>
  </w:footnote>
  <w:footnote w:id="4">
    <w:p w14:paraId="67A25B2C" w14:textId="0121B940" w:rsidR="004C5FBE" w:rsidRPr="00E65D93" w:rsidRDefault="004C5FBE" w:rsidP="00040BBB">
      <w:pPr>
        <w:pStyle w:val="FootnoteText"/>
        <w:rPr>
          <w:lang w:val="en-US"/>
        </w:rPr>
      </w:pPr>
      <w:r>
        <w:rPr>
          <w:rStyle w:val="FootnoteReference"/>
        </w:rPr>
        <w:footnoteRef/>
      </w:r>
      <w:r>
        <w:t xml:space="preserve"> </w:t>
      </w:r>
      <w:proofErr w:type="spellStart"/>
      <w:r>
        <w:rPr>
          <w:lang w:val="en-US"/>
        </w:rPr>
        <w:t>eRSA</w:t>
      </w:r>
      <w:proofErr w:type="spellEnd"/>
      <w:r>
        <w:rPr>
          <w:lang w:val="en-US"/>
        </w:rPr>
        <w:t xml:space="preserve"> in South Australia, Intersect in NSW, </w:t>
      </w:r>
      <w:proofErr w:type="spellStart"/>
      <w:r>
        <w:rPr>
          <w:lang w:val="en-US"/>
        </w:rPr>
        <w:t>Pawsey</w:t>
      </w:r>
      <w:proofErr w:type="spellEnd"/>
      <w:r>
        <w:rPr>
          <w:lang w:val="en-US"/>
        </w:rPr>
        <w:t xml:space="preserve"> Supercomputing Centre in WA (previously </w:t>
      </w:r>
      <w:proofErr w:type="spellStart"/>
      <w:r>
        <w:rPr>
          <w:lang w:val="en-US"/>
        </w:rPr>
        <w:t>iVEC</w:t>
      </w:r>
      <w:proofErr w:type="spellEnd"/>
      <w:r>
        <w:rPr>
          <w:lang w:val="en-US"/>
        </w:rPr>
        <w:t>), Queensland Cyber Infrastructure Facility, Tasmanian Partnership for Advanced Computing, V3 Alliance in Victoria</w:t>
      </w:r>
    </w:p>
  </w:footnote>
  <w:footnote w:id="5">
    <w:p w14:paraId="5A9092E1" w14:textId="77777777" w:rsidR="004C5FBE" w:rsidRPr="00C72C2F" w:rsidRDefault="004C5FBE" w:rsidP="00040BBB">
      <w:pPr>
        <w:pStyle w:val="FootnoteText"/>
        <w:rPr>
          <w:lang w:val="en-US"/>
        </w:rPr>
      </w:pPr>
      <w:r>
        <w:rPr>
          <w:rStyle w:val="FootnoteReference"/>
        </w:rPr>
        <w:footnoteRef/>
      </w:r>
      <w:r>
        <w:t xml:space="preserve"> </w:t>
      </w:r>
      <w:r w:rsidRPr="00C72C2F">
        <w:t>https://www.xsede.org/</w:t>
      </w:r>
    </w:p>
  </w:footnote>
  <w:footnote w:id="6">
    <w:p w14:paraId="775FB127" w14:textId="77777777" w:rsidR="004C5FBE" w:rsidRPr="00801AFB" w:rsidRDefault="004C5FBE" w:rsidP="00040BBB">
      <w:pPr>
        <w:pStyle w:val="FootnoteText"/>
        <w:rPr>
          <w:lang w:val="en-US"/>
        </w:rPr>
      </w:pPr>
      <w:r>
        <w:rPr>
          <w:rStyle w:val="FootnoteReference"/>
        </w:rPr>
        <w:footnoteRef/>
      </w:r>
      <w:r>
        <w:t xml:space="preserve"> </w:t>
      </w:r>
      <w:r w:rsidRPr="00801AFB">
        <w:t>http://de.clarin.eu/en/about/overview</w:t>
      </w:r>
    </w:p>
  </w:footnote>
  <w:footnote w:id="7">
    <w:p w14:paraId="2D1C2931" w14:textId="77777777" w:rsidR="004C5FBE" w:rsidRPr="00CD3F5C" w:rsidRDefault="004C5FBE" w:rsidP="00040BBB">
      <w:pPr>
        <w:pStyle w:val="FootnoteText"/>
        <w:rPr>
          <w:lang w:val="en-US"/>
        </w:rPr>
      </w:pPr>
      <w:r>
        <w:rPr>
          <w:rStyle w:val="FootnoteReference"/>
        </w:rPr>
        <w:footnoteRef/>
      </w:r>
      <w:r>
        <w:t xml:space="preserve"> </w:t>
      </w:r>
      <w:r w:rsidRPr="00CD3F5C">
        <w:t>http://dariah.eu/about.html</w:t>
      </w:r>
    </w:p>
  </w:footnote>
  <w:footnote w:id="8">
    <w:p w14:paraId="3B6C025E" w14:textId="51C6BE5A" w:rsidR="004C5FBE" w:rsidRDefault="004C5FBE">
      <w:pPr>
        <w:pStyle w:val="FootnoteText"/>
      </w:pPr>
      <w:r>
        <w:rPr>
          <w:rStyle w:val="FootnoteReference"/>
        </w:rPr>
        <w:footnoteRef/>
      </w:r>
      <w:r>
        <w:t xml:space="preserve"> Britain, Russia, Germany, Japan, Italy, Canada, France, USA</w:t>
      </w:r>
    </w:p>
  </w:footnote>
  <w:footnote w:id="9">
    <w:p w14:paraId="550AA59C" w14:textId="4FC8140D" w:rsidR="004C5FBE" w:rsidRDefault="004C5FBE">
      <w:pPr>
        <w:pStyle w:val="FootnoteText"/>
      </w:pPr>
      <w:r>
        <w:rPr>
          <w:rStyle w:val="FootnoteReference"/>
        </w:rPr>
        <w:footnoteRef/>
      </w:r>
      <w:r>
        <w:t xml:space="preserve"> </w:t>
      </w:r>
      <w:r w:rsidRPr="00284230">
        <w:t>http://aurin.org.au/</w:t>
      </w:r>
    </w:p>
  </w:footnote>
  <w:footnote w:id="10">
    <w:p w14:paraId="6B975419" w14:textId="21689EFB" w:rsidR="004C5FBE" w:rsidRDefault="004C5FBE">
      <w:pPr>
        <w:pStyle w:val="FootnoteText"/>
      </w:pPr>
      <w:r>
        <w:rPr>
          <w:rStyle w:val="FootnoteReference"/>
        </w:rPr>
        <w:footnoteRef/>
      </w:r>
      <w:r>
        <w:t xml:space="preserve"> </w:t>
      </w:r>
      <w:r w:rsidRPr="00284230">
        <w:t>http://www.cdh.ucla.edu/projects/event-pulse/</w:t>
      </w:r>
    </w:p>
  </w:footnote>
  <w:footnote w:id="11">
    <w:p w14:paraId="56313756" w14:textId="4C73331B" w:rsidR="004C5FBE" w:rsidRDefault="004C5FBE">
      <w:pPr>
        <w:pStyle w:val="FootnoteText"/>
      </w:pPr>
      <w:r>
        <w:rPr>
          <w:rStyle w:val="FootnoteReference"/>
        </w:rPr>
        <w:footnoteRef/>
      </w:r>
      <w:r>
        <w:t xml:space="preserve"> </w:t>
      </w:r>
      <w:r w:rsidRPr="00284230">
        <w:t>http://www.cdec.it/</w:t>
      </w:r>
    </w:p>
  </w:footnote>
  <w:footnote w:id="12">
    <w:p w14:paraId="45DA1C50" w14:textId="13BDBA81" w:rsidR="004C5FBE" w:rsidRDefault="004C5FBE">
      <w:pPr>
        <w:pStyle w:val="FootnoteText"/>
      </w:pPr>
      <w:r>
        <w:rPr>
          <w:rStyle w:val="FootnoteReference"/>
        </w:rPr>
        <w:footnoteRef/>
      </w:r>
      <w:r>
        <w:t xml:space="preserve"> The World Wide Web Consortium (W3C) describes Semantic Web technologies as those that “enable people to create data stores on the Web, build vocabularies, and write rules for handling data. Linked data are empowered by technologies such as RDF, SPARQL, OWL, and SKOS”</w:t>
      </w:r>
    </w:p>
  </w:footnote>
  <w:footnote w:id="13">
    <w:p w14:paraId="42C9C762" w14:textId="6E729816" w:rsidR="004C5FBE" w:rsidRDefault="004C5FBE">
      <w:pPr>
        <w:pStyle w:val="FootnoteText"/>
      </w:pPr>
      <w:r>
        <w:rPr>
          <w:rStyle w:val="FootnoteReference"/>
        </w:rPr>
        <w:footnoteRef/>
      </w:r>
      <w:r>
        <w:t xml:space="preserve"> </w:t>
      </w:r>
      <w:r w:rsidRPr="00284230">
        <w:rPr>
          <w:rStyle w:val="tx"/>
        </w:rPr>
        <w:t>https://www.fedarch.org/wordpress/</w:t>
      </w:r>
    </w:p>
  </w:footnote>
  <w:footnote w:id="14">
    <w:p w14:paraId="6AFC5C5F" w14:textId="5A9B2EA3" w:rsidR="004C5FBE" w:rsidRDefault="004C5FBE">
      <w:pPr>
        <w:pStyle w:val="FootnoteText"/>
      </w:pPr>
      <w:r>
        <w:rPr>
          <w:rStyle w:val="FootnoteReference"/>
        </w:rPr>
        <w:footnoteRef/>
      </w:r>
      <w:r>
        <w:t xml:space="preserve"> </w:t>
      </w:r>
      <w:r w:rsidRPr="00284230">
        <w:t>https://aihi.mq.edu.au/project/wombat-work-observation-method-activity-timing</w:t>
      </w:r>
    </w:p>
  </w:footnote>
  <w:footnote w:id="15">
    <w:p w14:paraId="10E198E2" w14:textId="554117C4" w:rsidR="004C5FBE" w:rsidRDefault="004C5FBE">
      <w:pPr>
        <w:pStyle w:val="FootnoteText"/>
      </w:pPr>
      <w:r>
        <w:rPr>
          <w:rStyle w:val="FootnoteReference"/>
        </w:rPr>
        <w:footnoteRef/>
      </w:r>
      <w:r>
        <w:t xml:space="preserve"> </w:t>
      </w:r>
      <w:r w:rsidRPr="00284230">
        <w:t>http://www.oceannetworks.ca/</w:t>
      </w:r>
    </w:p>
  </w:footnote>
  <w:footnote w:id="16">
    <w:p w14:paraId="0F5C5EC9" w14:textId="2981AC2D" w:rsidR="004C5FBE" w:rsidRPr="00284230" w:rsidRDefault="004C5FBE" w:rsidP="00284230">
      <w:pPr>
        <w:spacing w:after="0" w:line="240" w:lineRule="auto"/>
        <w:rPr>
          <w:color w:val="0563C1" w:themeColor="hyperlink"/>
          <w:u w:val="single"/>
        </w:rPr>
      </w:pPr>
      <w:r>
        <w:rPr>
          <w:rStyle w:val="FootnoteReference"/>
        </w:rPr>
        <w:footnoteRef/>
      </w:r>
      <w:r>
        <w:t xml:space="preserve"> </w:t>
      </w:r>
      <w:r w:rsidRPr="00284230">
        <w:rPr>
          <w:sz w:val="20"/>
          <w:szCs w:val="20"/>
        </w:rPr>
        <w:t>http://aws.amazon.com/1000genomes/</w:t>
      </w:r>
    </w:p>
  </w:footnote>
  <w:footnote w:id="17">
    <w:p w14:paraId="7E5DE515" w14:textId="6EB71588" w:rsidR="004C5FBE" w:rsidRPr="00284230" w:rsidRDefault="004C5FBE" w:rsidP="00284230">
      <w:pPr>
        <w:spacing w:after="0" w:line="240" w:lineRule="auto"/>
        <w:rPr>
          <w:color w:val="0563C1" w:themeColor="hyperlink"/>
          <w:u w:val="single"/>
        </w:rPr>
      </w:pPr>
      <w:r w:rsidRPr="00284230">
        <w:rPr>
          <w:sz w:val="20"/>
          <w:szCs w:val="20"/>
        </w:rPr>
        <w:footnoteRef/>
      </w:r>
      <w:r w:rsidRPr="00284230">
        <w:rPr>
          <w:sz w:val="20"/>
          <w:szCs w:val="20"/>
        </w:rPr>
        <w:t xml:space="preserve"> http://theodi.org/blog/medicines-for-malaria-sharing-data-on-drug-discovery-key-to-disease-control</w:t>
      </w:r>
    </w:p>
  </w:footnote>
  <w:footnote w:id="18">
    <w:p w14:paraId="3FB901E5" w14:textId="51BF7EBB" w:rsidR="004C5FBE" w:rsidRDefault="004C5FBE">
      <w:pPr>
        <w:pStyle w:val="FootnoteText"/>
      </w:pPr>
      <w:r>
        <w:rPr>
          <w:rStyle w:val="FootnoteReference"/>
        </w:rPr>
        <w:footnoteRef/>
      </w:r>
      <w:r>
        <w:t xml:space="preserve"> </w:t>
      </w:r>
      <w:r w:rsidRPr="00AD1631">
        <w:t>https://www.openaire.eu/opendatapilot</w:t>
      </w:r>
    </w:p>
  </w:footnote>
  <w:footnote w:id="19">
    <w:p w14:paraId="12610DB7" w14:textId="6870D85D" w:rsidR="004C5FBE" w:rsidRDefault="004C5FBE" w:rsidP="00BD6EDF">
      <w:pPr>
        <w:pStyle w:val="FootnoteText"/>
      </w:pPr>
      <w:r>
        <w:rPr>
          <w:rStyle w:val="FootnoteReference"/>
        </w:rPr>
        <w:footnoteRef/>
      </w:r>
      <w:r>
        <w:t xml:space="preserve"> “the use of massive datasets to find patterns as the basis of research” (The Royal Society Report 2012)</w:t>
      </w:r>
    </w:p>
  </w:footnote>
  <w:footnote w:id="20">
    <w:p w14:paraId="3057E70B" w14:textId="77777777" w:rsidR="004C5FBE" w:rsidRDefault="004C5FBE" w:rsidP="00BD6EDF">
      <w:pPr>
        <w:pStyle w:val="FootnoteText"/>
      </w:pPr>
      <w:r>
        <w:rPr>
          <w:rStyle w:val="FootnoteReference"/>
        </w:rPr>
        <w:footnoteRef/>
      </w:r>
      <w:r>
        <w:t xml:space="preserve"> </w:t>
      </w:r>
      <w:r w:rsidRPr="009458A8">
        <w:t>http://mnf.csiro.au/Policies/Outputs-and-outcomes-from-research-voyages.aspx</w:t>
      </w:r>
    </w:p>
  </w:footnote>
  <w:footnote w:id="21">
    <w:p w14:paraId="3E4E3D9B" w14:textId="3671695A" w:rsidR="004C5FBE" w:rsidRDefault="004C5FBE">
      <w:pPr>
        <w:pStyle w:val="FootnoteText"/>
      </w:pPr>
      <w:r>
        <w:rPr>
          <w:rStyle w:val="FootnoteReference"/>
        </w:rPr>
        <w:footnoteRef/>
      </w:r>
      <w:r>
        <w:t xml:space="preserve"> </w:t>
      </w:r>
      <w:r w:rsidRPr="00F672F3">
        <w:t>discoverycircle.org.au</w:t>
      </w:r>
    </w:p>
  </w:footnote>
  <w:footnote w:id="22">
    <w:p w14:paraId="5D0244A0" w14:textId="05F9CCD6" w:rsidR="004C5FBE" w:rsidRDefault="004C5FBE">
      <w:pPr>
        <w:pStyle w:val="FootnoteText"/>
      </w:pPr>
      <w:r>
        <w:rPr>
          <w:rStyle w:val="FootnoteReference"/>
        </w:rPr>
        <w:footnoteRef/>
      </w:r>
      <w:r>
        <w:t xml:space="preserve"> ala.org.au</w:t>
      </w:r>
    </w:p>
  </w:footnote>
  <w:footnote w:id="23">
    <w:p w14:paraId="68BA7486" w14:textId="7A3BFF7A" w:rsidR="004C5FBE" w:rsidRDefault="004C5FBE">
      <w:pPr>
        <w:pStyle w:val="FootnoteText"/>
      </w:pPr>
      <w:r>
        <w:rPr>
          <w:rStyle w:val="FootnoteReference"/>
        </w:rPr>
        <w:footnoteRef/>
      </w:r>
      <w:r>
        <w:t xml:space="preserve"> </w:t>
      </w:r>
      <w:r w:rsidRPr="001A5BB3">
        <w:t>http://dh2015.org/schedule-overview/</w:t>
      </w:r>
    </w:p>
  </w:footnote>
  <w:footnote w:id="24">
    <w:p w14:paraId="632EC867" w14:textId="58BDAA7A" w:rsidR="004C5FBE" w:rsidRDefault="004C5FBE">
      <w:pPr>
        <w:pStyle w:val="FootnoteText"/>
      </w:pPr>
      <w:r>
        <w:rPr>
          <w:rStyle w:val="FootnoteReference"/>
        </w:rPr>
        <w:footnoteRef/>
      </w:r>
      <w:r>
        <w:t xml:space="preserve"> </w:t>
      </w:r>
      <w:r w:rsidRPr="00222FF6">
        <w:t>scds.ca/</w:t>
      </w:r>
    </w:p>
  </w:footnote>
  <w:footnote w:id="25">
    <w:p w14:paraId="7C1B012E" w14:textId="2F87064A" w:rsidR="004C5FBE" w:rsidRDefault="004C5FBE">
      <w:pPr>
        <w:pStyle w:val="FootnoteText"/>
      </w:pPr>
      <w:r>
        <w:rPr>
          <w:rStyle w:val="FootnoteReference"/>
        </w:rPr>
        <w:footnoteRef/>
      </w:r>
      <w:r>
        <w:t xml:space="preserve"> </w:t>
      </w:r>
      <w:r w:rsidRPr="009F7F47">
        <w:t>https://ecs.victoria.ac.nz/foswiki/pub/EResearch/Resources/vuw_eresearch_strategy.pdf</w:t>
      </w:r>
    </w:p>
  </w:footnote>
  <w:footnote w:id="26">
    <w:p w14:paraId="7B8D8FD9" w14:textId="48DA1C99" w:rsidR="004C5FBE" w:rsidRDefault="004C5FBE">
      <w:pPr>
        <w:pStyle w:val="FootnoteText"/>
      </w:pPr>
      <w:r>
        <w:rPr>
          <w:rStyle w:val="FootnoteReference"/>
        </w:rPr>
        <w:footnoteRef/>
      </w:r>
      <w:r w:rsidRPr="009F7F47">
        <w:t>http://www.eresearch.ac.za/sites/default/files/image_tool/images/140/GwendaThomasPresentation_final.pdf</w:t>
      </w:r>
    </w:p>
  </w:footnote>
  <w:footnote w:id="27">
    <w:p w14:paraId="76819A2D" w14:textId="77777777" w:rsidR="004C5FBE" w:rsidRDefault="004C5FBE" w:rsidP="00931E55">
      <w:pPr>
        <w:pStyle w:val="FootnoteText"/>
      </w:pPr>
      <w:r>
        <w:rPr>
          <w:rStyle w:val="FootnoteReference"/>
        </w:rPr>
        <w:footnoteRef/>
      </w:r>
      <w:r>
        <w:t xml:space="preserve"> </w:t>
      </w:r>
      <w:r w:rsidRPr="009E1D6F">
        <w:t>https://services.anu.edu.au/planning-governance/governance/anu-eresearch-reference-group</w:t>
      </w:r>
    </w:p>
  </w:footnote>
  <w:footnote w:id="28">
    <w:p w14:paraId="6504B08C" w14:textId="77777777" w:rsidR="004C5FBE" w:rsidRDefault="004C5FBE" w:rsidP="00931E55">
      <w:pPr>
        <w:pStyle w:val="FootnoteText"/>
      </w:pPr>
      <w:r>
        <w:rPr>
          <w:rStyle w:val="FootnoteReference"/>
        </w:rPr>
        <w:footnoteRef/>
      </w:r>
      <w:r>
        <w:t xml:space="preserve"> </w:t>
      </w:r>
      <w:r w:rsidRPr="009E1D6F">
        <w:t>https://research.unsw.edu.au/units/eresearchunsw</w:t>
      </w:r>
    </w:p>
  </w:footnote>
  <w:footnote w:id="29">
    <w:p w14:paraId="52F67770" w14:textId="77777777" w:rsidR="004C5FBE" w:rsidRDefault="004C5FBE" w:rsidP="005942A6">
      <w:pPr>
        <w:pStyle w:val="FootnoteText"/>
      </w:pPr>
      <w:r>
        <w:rPr>
          <w:rStyle w:val="FootnoteReference"/>
        </w:rPr>
        <w:footnoteRef/>
      </w:r>
      <w:r>
        <w:t xml:space="preserve"> </w:t>
      </w:r>
      <w:r w:rsidRPr="000707F1">
        <w:t>https://platforms.monash.edu/eresearch/</w:t>
      </w:r>
    </w:p>
  </w:footnote>
  <w:footnote w:id="30">
    <w:p w14:paraId="6ABEC90A" w14:textId="77777777" w:rsidR="004C5FBE" w:rsidRDefault="004C5FBE" w:rsidP="005942A6">
      <w:pPr>
        <w:pStyle w:val="FootnoteText"/>
      </w:pPr>
      <w:r>
        <w:rPr>
          <w:rStyle w:val="FootnoteReference"/>
        </w:rPr>
        <w:footnoteRef/>
      </w:r>
      <w:r>
        <w:t xml:space="preserve"> </w:t>
      </w:r>
      <w:r w:rsidRPr="0095489B">
        <w:t>http://www.kcl.ac.uk/artshums/depts/ddh/index.aspx</w:t>
      </w:r>
    </w:p>
  </w:footnote>
  <w:footnote w:id="31">
    <w:p w14:paraId="3433654B" w14:textId="77777777" w:rsidR="004C5FBE" w:rsidRDefault="004C5FBE" w:rsidP="005942A6">
      <w:pPr>
        <w:pStyle w:val="FootnoteText"/>
      </w:pPr>
      <w:r>
        <w:rPr>
          <w:rStyle w:val="FootnoteReference"/>
        </w:rPr>
        <w:footnoteRef/>
      </w:r>
      <w:r>
        <w:t xml:space="preserve"> </w:t>
      </w:r>
      <w:r w:rsidRPr="0095489B">
        <w:t>http://www.pericles-project.eu/</w:t>
      </w:r>
    </w:p>
  </w:footnote>
  <w:footnote w:id="32">
    <w:p w14:paraId="767B5E37" w14:textId="50941853" w:rsidR="004C5FBE" w:rsidRDefault="004C5FBE">
      <w:pPr>
        <w:pStyle w:val="FootnoteText"/>
      </w:pPr>
      <w:r>
        <w:rPr>
          <w:rStyle w:val="FootnoteReference"/>
        </w:rPr>
        <w:footnoteRef/>
      </w:r>
      <w:r>
        <w:t xml:space="preserve"> </w:t>
      </w:r>
      <w:r w:rsidRPr="00101D5B">
        <w:t>http://mith.umd.edu/research/project/digital-humanities-incubator/</w:t>
      </w:r>
    </w:p>
  </w:footnote>
  <w:footnote w:id="33">
    <w:p w14:paraId="2378FE04" w14:textId="65433B3A" w:rsidR="004C5FBE" w:rsidRDefault="004C5FBE">
      <w:pPr>
        <w:pStyle w:val="FootnoteText"/>
      </w:pPr>
      <w:r>
        <w:rPr>
          <w:rStyle w:val="FootnoteReference"/>
        </w:rPr>
        <w:footnoteRef/>
      </w:r>
      <w:r>
        <w:t xml:space="preserve"> “datasets whose size is beyond the ability of typical database software tools to capture, store, manage and analyse” – although it is acknowledged “this definition is intentionally subjective and incorporates a moving definition of how big a dataset needs to be in order to be considered big data” (McKinsey 2011)</w:t>
      </w:r>
    </w:p>
  </w:footnote>
  <w:footnote w:id="34">
    <w:p w14:paraId="02CB951E" w14:textId="77777777" w:rsidR="004C5FBE" w:rsidRDefault="004C5FBE" w:rsidP="00B04A1F">
      <w:pPr>
        <w:pStyle w:val="FootnoteText"/>
      </w:pPr>
      <w:r>
        <w:rPr>
          <w:rStyle w:val="FootnoteReference"/>
        </w:rPr>
        <w:footnoteRef/>
      </w:r>
      <w:r>
        <w:t xml:space="preserve"> </w:t>
      </w:r>
      <w:r w:rsidRPr="00C25497">
        <w:t>https://www.fedarch.org/wordpress/</w:t>
      </w:r>
    </w:p>
  </w:footnote>
  <w:footnote w:id="35">
    <w:p w14:paraId="57243FBE" w14:textId="77777777" w:rsidR="004C5FBE" w:rsidRDefault="004C5FBE" w:rsidP="00B04A1F">
      <w:pPr>
        <w:pStyle w:val="FootnoteText"/>
      </w:pPr>
      <w:r>
        <w:rPr>
          <w:rStyle w:val="FootnoteReference"/>
        </w:rPr>
        <w:footnoteRef/>
      </w:r>
      <w:r>
        <w:t xml:space="preserve"> </w:t>
      </w:r>
      <w:r w:rsidRPr="00C25497">
        <w:t>https://aihi.mq.edu.au/project/wombat-work-observation-method-activity-timing</w:t>
      </w:r>
    </w:p>
  </w:footnote>
  <w:footnote w:id="36">
    <w:p w14:paraId="24AE3D6F" w14:textId="77777777" w:rsidR="004C5FBE" w:rsidRDefault="004C5FBE" w:rsidP="00B04A1F">
      <w:pPr>
        <w:pStyle w:val="FootnoteText"/>
      </w:pPr>
      <w:r>
        <w:rPr>
          <w:rStyle w:val="FootnoteReference"/>
        </w:rPr>
        <w:footnoteRef/>
      </w:r>
      <w:r>
        <w:t xml:space="preserve"> </w:t>
      </w:r>
      <w:r w:rsidRPr="00C25497">
        <w:t>http://alveo.edu.au/</w:t>
      </w:r>
    </w:p>
  </w:footnote>
  <w:footnote w:id="37">
    <w:p w14:paraId="2005D2D2" w14:textId="1AEB35FD" w:rsidR="004C5FBE" w:rsidRDefault="004C5FBE">
      <w:pPr>
        <w:pStyle w:val="FootnoteText"/>
      </w:pPr>
      <w:r>
        <w:rPr>
          <w:rStyle w:val="FootnoteReference"/>
        </w:rPr>
        <w:footnoteRef/>
      </w:r>
      <w:r>
        <w:t xml:space="preserve"> </w:t>
      </w:r>
      <w:r w:rsidRPr="009E1D6F">
        <w:t>http://software-carpentry.org/</w:t>
      </w:r>
    </w:p>
  </w:footnote>
  <w:footnote w:id="38">
    <w:p w14:paraId="52D6D66E" w14:textId="35372569" w:rsidR="004C5FBE" w:rsidRDefault="004C5FBE">
      <w:pPr>
        <w:pStyle w:val="FootnoteText"/>
      </w:pPr>
      <w:r>
        <w:rPr>
          <w:rStyle w:val="FootnoteReference"/>
        </w:rPr>
        <w:footnoteRef/>
      </w:r>
      <w:r>
        <w:t xml:space="preserve"> </w:t>
      </w:r>
      <w:r w:rsidRPr="009E1D6F">
        <w:t>http://www.gg.mq.edu.au/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613A9"/>
    <w:multiLevelType w:val="hybridMultilevel"/>
    <w:tmpl w:val="EF36A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B43587"/>
    <w:multiLevelType w:val="hybridMultilevel"/>
    <w:tmpl w:val="7F6A93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9E39C5"/>
    <w:multiLevelType w:val="hybridMultilevel"/>
    <w:tmpl w:val="76DA0A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A44B43"/>
    <w:multiLevelType w:val="hybridMultilevel"/>
    <w:tmpl w:val="17CE9CDE"/>
    <w:lvl w:ilvl="0" w:tplc="D4B852F0">
      <w:start w:val="5"/>
      <w:numFmt w:val="bullet"/>
      <w:lvlText w:val="-"/>
      <w:lvlJc w:val="left"/>
      <w:pPr>
        <w:ind w:left="1185" w:hanging="360"/>
      </w:pPr>
      <w:rPr>
        <w:rFonts w:ascii="Calibri" w:eastAsiaTheme="minorHAnsi" w:hAnsi="Calibri" w:cstheme="minorBidi"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4">
    <w:nsid w:val="1C577A81"/>
    <w:multiLevelType w:val="hybridMultilevel"/>
    <w:tmpl w:val="FD56656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66359C"/>
    <w:multiLevelType w:val="hybridMultilevel"/>
    <w:tmpl w:val="9CB094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E9D0705"/>
    <w:multiLevelType w:val="hybridMultilevel"/>
    <w:tmpl w:val="218EC81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2DF584D"/>
    <w:multiLevelType w:val="hybridMultilevel"/>
    <w:tmpl w:val="B5005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419567C"/>
    <w:multiLevelType w:val="hybridMultilevel"/>
    <w:tmpl w:val="5822741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0DB614D"/>
    <w:multiLevelType w:val="hybridMultilevel"/>
    <w:tmpl w:val="1B807C12"/>
    <w:lvl w:ilvl="0" w:tplc="261424D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7A247E9"/>
    <w:multiLevelType w:val="hybridMultilevel"/>
    <w:tmpl w:val="0060C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6971AC"/>
    <w:multiLevelType w:val="hybridMultilevel"/>
    <w:tmpl w:val="6548E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ADE32D2"/>
    <w:multiLevelType w:val="hybridMultilevel"/>
    <w:tmpl w:val="D5E6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EF42BC"/>
    <w:multiLevelType w:val="multilevel"/>
    <w:tmpl w:val="ED0A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3D662D"/>
    <w:multiLevelType w:val="multilevel"/>
    <w:tmpl w:val="17D0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5A4708"/>
    <w:multiLevelType w:val="hybridMultilevel"/>
    <w:tmpl w:val="968AA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595F34"/>
    <w:multiLevelType w:val="hybridMultilevel"/>
    <w:tmpl w:val="3A148EE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C2A544E"/>
    <w:multiLevelType w:val="hybridMultilevel"/>
    <w:tmpl w:val="0B867BDA"/>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43909FF"/>
    <w:multiLevelType w:val="hybridMultilevel"/>
    <w:tmpl w:val="717E632C"/>
    <w:lvl w:ilvl="0" w:tplc="261424D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6F30840"/>
    <w:multiLevelType w:val="hybridMultilevel"/>
    <w:tmpl w:val="7EC6F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4"/>
  </w:num>
  <w:num w:numId="4">
    <w:abstractNumId w:val="8"/>
  </w:num>
  <w:num w:numId="5">
    <w:abstractNumId w:val="19"/>
  </w:num>
  <w:num w:numId="6">
    <w:abstractNumId w:val="1"/>
  </w:num>
  <w:num w:numId="7">
    <w:abstractNumId w:val="17"/>
  </w:num>
  <w:num w:numId="8">
    <w:abstractNumId w:val="6"/>
  </w:num>
  <w:num w:numId="9">
    <w:abstractNumId w:val="3"/>
  </w:num>
  <w:num w:numId="10">
    <w:abstractNumId w:val="5"/>
  </w:num>
  <w:num w:numId="11">
    <w:abstractNumId w:val="12"/>
  </w:num>
  <w:num w:numId="12">
    <w:abstractNumId w:val="15"/>
  </w:num>
  <w:num w:numId="13">
    <w:abstractNumId w:val="11"/>
  </w:num>
  <w:num w:numId="14">
    <w:abstractNumId w:val="0"/>
  </w:num>
  <w:num w:numId="15">
    <w:abstractNumId w:val="13"/>
  </w:num>
  <w:num w:numId="16">
    <w:abstractNumId w:val="14"/>
  </w:num>
  <w:num w:numId="17">
    <w:abstractNumId w:val="18"/>
  </w:num>
  <w:num w:numId="18">
    <w:abstractNumId w:val="9"/>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77"/>
    <w:rsid w:val="00003980"/>
    <w:rsid w:val="00010E9E"/>
    <w:rsid w:val="00015E39"/>
    <w:rsid w:val="00016A5C"/>
    <w:rsid w:val="0003178E"/>
    <w:rsid w:val="00037D52"/>
    <w:rsid w:val="00040BBB"/>
    <w:rsid w:val="00041AFB"/>
    <w:rsid w:val="00042428"/>
    <w:rsid w:val="00044487"/>
    <w:rsid w:val="000449A0"/>
    <w:rsid w:val="0004543A"/>
    <w:rsid w:val="00050CAC"/>
    <w:rsid w:val="000529AC"/>
    <w:rsid w:val="00062EC2"/>
    <w:rsid w:val="00070727"/>
    <w:rsid w:val="000707F1"/>
    <w:rsid w:val="00081DD9"/>
    <w:rsid w:val="00087875"/>
    <w:rsid w:val="000A498B"/>
    <w:rsid w:val="000B0635"/>
    <w:rsid w:val="000C2DB5"/>
    <w:rsid w:val="000C4B85"/>
    <w:rsid w:val="000C6169"/>
    <w:rsid w:val="000C6701"/>
    <w:rsid w:val="000D518B"/>
    <w:rsid w:val="000D6BFE"/>
    <w:rsid w:val="000D7B90"/>
    <w:rsid w:val="000E3550"/>
    <w:rsid w:val="000E3C30"/>
    <w:rsid w:val="000E3E19"/>
    <w:rsid w:val="000E4286"/>
    <w:rsid w:val="000E53FD"/>
    <w:rsid w:val="000F0796"/>
    <w:rsid w:val="000F1B50"/>
    <w:rsid w:val="000F27CB"/>
    <w:rsid w:val="000F3CD2"/>
    <w:rsid w:val="000F5299"/>
    <w:rsid w:val="000F631B"/>
    <w:rsid w:val="00100CD4"/>
    <w:rsid w:val="00101D5B"/>
    <w:rsid w:val="001036AE"/>
    <w:rsid w:val="001156AA"/>
    <w:rsid w:val="00124222"/>
    <w:rsid w:val="00126F1F"/>
    <w:rsid w:val="0013212A"/>
    <w:rsid w:val="00133A96"/>
    <w:rsid w:val="0013646C"/>
    <w:rsid w:val="00142773"/>
    <w:rsid w:val="001432F3"/>
    <w:rsid w:val="001525D2"/>
    <w:rsid w:val="00164D07"/>
    <w:rsid w:val="00173162"/>
    <w:rsid w:val="00175D63"/>
    <w:rsid w:val="00180956"/>
    <w:rsid w:val="00180CFA"/>
    <w:rsid w:val="0019342A"/>
    <w:rsid w:val="0019537A"/>
    <w:rsid w:val="00195B60"/>
    <w:rsid w:val="001A5BB3"/>
    <w:rsid w:val="001B219B"/>
    <w:rsid w:val="001B5B42"/>
    <w:rsid w:val="001C3FDE"/>
    <w:rsid w:val="001C4CA1"/>
    <w:rsid w:val="001C7E59"/>
    <w:rsid w:val="001D66C1"/>
    <w:rsid w:val="001E7B91"/>
    <w:rsid w:val="001F0414"/>
    <w:rsid w:val="001F4B9F"/>
    <w:rsid w:val="001F5AE9"/>
    <w:rsid w:val="001F5F12"/>
    <w:rsid w:val="001F7AAA"/>
    <w:rsid w:val="0020330E"/>
    <w:rsid w:val="00203999"/>
    <w:rsid w:val="00210396"/>
    <w:rsid w:val="002203B8"/>
    <w:rsid w:val="00222FF6"/>
    <w:rsid w:val="0023138E"/>
    <w:rsid w:val="00240225"/>
    <w:rsid w:val="00245258"/>
    <w:rsid w:val="002655B8"/>
    <w:rsid w:val="00271CC2"/>
    <w:rsid w:val="00272024"/>
    <w:rsid w:val="002722E3"/>
    <w:rsid w:val="00280344"/>
    <w:rsid w:val="0028151E"/>
    <w:rsid w:val="00284230"/>
    <w:rsid w:val="00295668"/>
    <w:rsid w:val="00296E16"/>
    <w:rsid w:val="002A04CB"/>
    <w:rsid w:val="002A21F0"/>
    <w:rsid w:val="002A4728"/>
    <w:rsid w:val="002B1DDB"/>
    <w:rsid w:val="002C08A7"/>
    <w:rsid w:val="002C12DE"/>
    <w:rsid w:val="002C6BBF"/>
    <w:rsid w:val="002C6DC5"/>
    <w:rsid w:val="002D275C"/>
    <w:rsid w:val="002D5706"/>
    <w:rsid w:val="002D5DCF"/>
    <w:rsid w:val="002F3DD1"/>
    <w:rsid w:val="00300469"/>
    <w:rsid w:val="003013C1"/>
    <w:rsid w:val="00315D3B"/>
    <w:rsid w:val="003171D7"/>
    <w:rsid w:val="00324117"/>
    <w:rsid w:val="00325425"/>
    <w:rsid w:val="0033024C"/>
    <w:rsid w:val="0034441B"/>
    <w:rsid w:val="00345EAF"/>
    <w:rsid w:val="003519BA"/>
    <w:rsid w:val="0035397A"/>
    <w:rsid w:val="00354B5F"/>
    <w:rsid w:val="00387AAF"/>
    <w:rsid w:val="0039366F"/>
    <w:rsid w:val="003A3040"/>
    <w:rsid w:val="003A31D9"/>
    <w:rsid w:val="003C0B51"/>
    <w:rsid w:val="003C7206"/>
    <w:rsid w:val="003D6059"/>
    <w:rsid w:val="003E18BD"/>
    <w:rsid w:val="003E2887"/>
    <w:rsid w:val="003E4B34"/>
    <w:rsid w:val="003E7572"/>
    <w:rsid w:val="003F2F29"/>
    <w:rsid w:val="003F5451"/>
    <w:rsid w:val="003F6B3A"/>
    <w:rsid w:val="00400770"/>
    <w:rsid w:val="004040BC"/>
    <w:rsid w:val="00411FD3"/>
    <w:rsid w:val="00416A2A"/>
    <w:rsid w:val="0042182D"/>
    <w:rsid w:val="0042422F"/>
    <w:rsid w:val="004302E3"/>
    <w:rsid w:val="00434DE4"/>
    <w:rsid w:val="00442243"/>
    <w:rsid w:val="00444986"/>
    <w:rsid w:val="0044502E"/>
    <w:rsid w:val="004645B6"/>
    <w:rsid w:val="00464A08"/>
    <w:rsid w:val="0047163D"/>
    <w:rsid w:val="00475AB0"/>
    <w:rsid w:val="00477CDE"/>
    <w:rsid w:val="00490E1D"/>
    <w:rsid w:val="00493322"/>
    <w:rsid w:val="004951BA"/>
    <w:rsid w:val="004A1F08"/>
    <w:rsid w:val="004A4EE9"/>
    <w:rsid w:val="004A5902"/>
    <w:rsid w:val="004C066B"/>
    <w:rsid w:val="004C1439"/>
    <w:rsid w:val="004C5495"/>
    <w:rsid w:val="004C5FBE"/>
    <w:rsid w:val="004C6099"/>
    <w:rsid w:val="004D1327"/>
    <w:rsid w:val="004D505C"/>
    <w:rsid w:val="004E0B1B"/>
    <w:rsid w:val="004E11DD"/>
    <w:rsid w:val="004E2CCC"/>
    <w:rsid w:val="004F2C2F"/>
    <w:rsid w:val="004F4EB1"/>
    <w:rsid w:val="004F5B3C"/>
    <w:rsid w:val="0052527F"/>
    <w:rsid w:val="00534ECC"/>
    <w:rsid w:val="00541A16"/>
    <w:rsid w:val="00542EFD"/>
    <w:rsid w:val="00545CF6"/>
    <w:rsid w:val="0054609F"/>
    <w:rsid w:val="00553B8E"/>
    <w:rsid w:val="005553F4"/>
    <w:rsid w:val="00556546"/>
    <w:rsid w:val="0056469F"/>
    <w:rsid w:val="00567275"/>
    <w:rsid w:val="00571C2C"/>
    <w:rsid w:val="00571F42"/>
    <w:rsid w:val="00574754"/>
    <w:rsid w:val="00575984"/>
    <w:rsid w:val="005856D5"/>
    <w:rsid w:val="005857D4"/>
    <w:rsid w:val="005931B9"/>
    <w:rsid w:val="005942A6"/>
    <w:rsid w:val="00596DED"/>
    <w:rsid w:val="005A16BC"/>
    <w:rsid w:val="005A34C6"/>
    <w:rsid w:val="005A6D69"/>
    <w:rsid w:val="005A6EF3"/>
    <w:rsid w:val="005B0D72"/>
    <w:rsid w:val="005B10F2"/>
    <w:rsid w:val="005B39E9"/>
    <w:rsid w:val="005C482C"/>
    <w:rsid w:val="005D05C2"/>
    <w:rsid w:val="005D06DA"/>
    <w:rsid w:val="005D2F45"/>
    <w:rsid w:val="005E1CC8"/>
    <w:rsid w:val="005E5CA6"/>
    <w:rsid w:val="005F184B"/>
    <w:rsid w:val="0060228B"/>
    <w:rsid w:val="006054DE"/>
    <w:rsid w:val="0060640B"/>
    <w:rsid w:val="00610197"/>
    <w:rsid w:val="0061585B"/>
    <w:rsid w:val="00616178"/>
    <w:rsid w:val="00635C59"/>
    <w:rsid w:val="00644A32"/>
    <w:rsid w:val="006453BD"/>
    <w:rsid w:val="00647479"/>
    <w:rsid w:val="00647C16"/>
    <w:rsid w:val="00652E9A"/>
    <w:rsid w:val="00657145"/>
    <w:rsid w:val="00662048"/>
    <w:rsid w:val="006651B0"/>
    <w:rsid w:val="00674231"/>
    <w:rsid w:val="0068328E"/>
    <w:rsid w:val="00686FB2"/>
    <w:rsid w:val="00687E8C"/>
    <w:rsid w:val="00690E1A"/>
    <w:rsid w:val="0069249C"/>
    <w:rsid w:val="00694086"/>
    <w:rsid w:val="0069717D"/>
    <w:rsid w:val="006A284E"/>
    <w:rsid w:val="006A330D"/>
    <w:rsid w:val="006B0AD6"/>
    <w:rsid w:val="006B3D36"/>
    <w:rsid w:val="006B6D8B"/>
    <w:rsid w:val="006C0AEA"/>
    <w:rsid w:val="006C4354"/>
    <w:rsid w:val="006C70D6"/>
    <w:rsid w:val="006D217A"/>
    <w:rsid w:val="006D3758"/>
    <w:rsid w:val="006D5212"/>
    <w:rsid w:val="006E4FDD"/>
    <w:rsid w:val="006F38C5"/>
    <w:rsid w:val="00701908"/>
    <w:rsid w:val="00703F73"/>
    <w:rsid w:val="00707CDE"/>
    <w:rsid w:val="007111F4"/>
    <w:rsid w:val="00713CFF"/>
    <w:rsid w:val="00717F6F"/>
    <w:rsid w:val="00722A50"/>
    <w:rsid w:val="00723774"/>
    <w:rsid w:val="007247B8"/>
    <w:rsid w:val="00732760"/>
    <w:rsid w:val="00732B10"/>
    <w:rsid w:val="007338A7"/>
    <w:rsid w:val="00734465"/>
    <w:rsid w:val="00743640"/>
    <w:rsid w:val="00746669"/>
    <w:rsid w:val="007547C2"/>
    <w:rsid w:val="00754C04"/>
    <w:rsid w:val="0075509A"/>
    <w:rsid w:val="0075567F"/>
    <w:rsid w:val="0077499A"/>
    <w:rsid w:val="0077502F"/>
    <w:rsid w:val="007819C3"/>
    <w:rsid w:val="00784846"/>
    <w:rsid w:val="00785E27"/>
    <w:rsid w:val="00794CAA"/>
    <w:rsid w:val="00795DFA"/>
    <w:rsid w:val="007A4F8B"/>
    <w:rsid w:val="007C487B"/>
    <w:rsid w:val="007C504A"/>
    <w:rsid w:val="007D1E63"/>
    <w:rsid w:val="007D255D"/>
    <w:rsid w:val="007D6804"/>
    <w:rsid w:val="007D6B51"/>
    <w:rsid w:val="007D7EA5"/>
    <w:rsid w:val="007E2A95"/>
    <w:rsid w:val="007E6ACC"/>
    <w:rsid w:val="00801AFB"/>
    <w:rsid w:val="00801C7F"/>
    <w:rsid w:val="00805EDE"/>
    <w:rsid w:val="0081090F"/>
    <w:rsid w:val="00812730"/>
    <w:rsid w:val="00814413"/>
    <w:rsid w:val="00814AF8"/>
    <w:rsid w:val="00814B05"/>
    <w:rsid w:val="00816295"/>
    <w:rsid w:val="00826214"/>
    <w:rsid w:val="0083263F"/>
    <w:rsid w:val="00833EEE"/>
    <w:rsid w:val="0083494A"/>
    <w:rsid w:val="00835027"/>
    <w:rsid w:val="00835856"/>
    <w:rsid w:val="00836077"/>
    <w:rsid w:val="008518A6"/>
    <w:rsid w:val="00851C86"/>
    <w:rsid w:val="0085572C"/>
    <w:rsid w:val="00861D63"/>
    <w:rsid w:val="008653A4"/>
    <w:rsid w:val="00870B02"/>
    <w:rsid w:val="00870E55"/>
    <w:rsid w:val="0087728B"/>
    <w:rsid w:val="0088042B"/>
    <w:rsid w:val="00880B87"/>
    <w:rsid w:val="00895F89"/>
    <w:rsid w:val="00895FFB"/>
    <w:rsid w:val="008A0325"/>
    <w:rsid w:val="008A12D3"/>
    <w:rsid w:val="008A4246"/>
    <w:rsid w:val="008A4813"/>
    <w:rsid w:val="008B0543"/>
    <w:rsid w:val="008B0D36"/>
    <w:rsid w:val="008C46A9"/>
    <w:rsid w:val="008C62A4"/>
    <w:rsid w:val="008D7129"/>
    <w:rsid w:val="008D7612"/>
    <w:rsid w:val="008E1033"/>
    <w:rsid w:val="008E50EE"/>
    <w:rsid w:val="00901A1A"/>
    <w:rsid w:val="00902246"/>
    <w:rsid w:val="009039F8"/>
    <w:rsid w:val="00910582"/>
    <w:rsid w:val="0091360F"/>
    <w:rsid w:val="00915DE9"/>
    <w:rsid w:val="009174D6"/>
    <w:rsid w:val="00921582"/>
    <w:rsid w:val="009231DB"/>
    <w:rsid w:val="00931E55"/>
    <w:rsid w:val="00942342"/>
    <w:rsid w:val="009458A8"/>
    <w:rsid w:val="00945BA9"/>
    <w:rsid w:val="0095181E"/>
    <w:rsid w:val="0095489B"/>
    <w:rsid w:val="009558D0"/>
    <w:rsid w:val="009614B4"/>
    <w:rsid w:val="00961C79"/>
    <w:rsid w:val="00963AB5"/>
    <w:rsid w:val="0096607B"/>
    <w:rsid w:val="009750C9"/>
    <w:rsid w:val="009806AE"/>
    <w:rsid w:val="00985686"/>
    <w:rsid w:val="00985D11"/>
    <w:rsid w:val="009865CB"/>
    <w:rsid w:val="009A014B"/>
    <w:rsid w:val="009A4DB9"/>
    <w:rsid w:val="009B468D"/>
    <w:rsid w:val="009C169F"/>
    <w:rsid w:val="009C47C7"/>
    <w:rsid w:val="009D0CA1"/>
    <w:rsid w:val="009E1D6F"/>
    <w:rsid w:val="009E331F"/>
    <w:rsid w:val="009E543C"/>
    <w:rsid w:val="009E7D46"/>
    <w:rsid w:val="009F2DE3"/>
    <w:rsid w:val="009F61F4"/>
    <w:rsid w:val="009F6BA5"/>
    <w:rsid w:val="009F7F47"/>
    <w:rsid w:val="00A03F66"/>
    <w:rsid w:val="00A04045"/>
    <w:rsid w:val="00A056BF"/>
    <w:rsid w:val="00A14998"/>
    <w:rsid w:val="00A3077A"/>
    <w:rsid w:val="00A33586"/>
    <w:rsid w:val="00A34F19"/>
    <w:rsid w:val="00A36F91"/>
    <w:rsid w:val="00A401F6"/>
    <w:rsid w:val="00A44FDE"/>
    <w:rsid w:val="00A477A4"/>
    <w:rsid w:val="00A52D49"/>
    <w:rsid w:val="00A64DA6"/>
    <w:rsid w:val="00A66D9E"/>
    <w:rsid w:val="00A74C72"/>
    <w:rsid w:val="00A7633F"/>
    <w:rsid w:val="00A76FED"/>
    <w:rsid w:val="00A80F41"/>
    <w:rsid w:val="00A87361"/>
    <w:rsid w:val="00A9123E"/>
    <w:rsid w:val="00A9336C"/>
    <w:rsid w:val="00A93B58"/>
    <w:rsid w:val="00A94FD1"/>
    <w:rsid w:val="00A95757"/>
    <w:rsid w:val="00AC0012"/>
    <w:rsid w:val="00AC3814"/>
    <w:rsid w:val="00AD01F4"/>
    <w:rsid w:val="00AD1631"/>
    <w:rsid w:val="00AD2632"/>
    <w:rsid w:val="00AD2DD0"/>
    <w:rsid w:val="00AE27DC"/>
    <w:rsid w:val="00AF5686"/>
    <w:rsid w:val="00AF63A9"/>
    <w:rsid w:val="00AF65EB"/>
    <w:rsid w:val="00B04A1F"/>
    <w:rsid w:val="00B125D9"/>
    <w:rsid w:val="00B208D2"/>
    <w:rsid w:val="00B2096E"/>
    <w:rsid w:val="00B267AF"/>
    <w:rsid w:val="00B27BA1"/>
    <w:rsid w:val="00B34321"/>
    <w:rsid w:val="00B34FA1"/>
    <w:rsid w:val="00B376DA"/>
    <w:rsid w:val="00B4707D"/>
    <w:rsid w:val="00B521C0"/>
    <w:rsid w:val="00B55153"/>
    <w:rsid w:val="00B559BE"/>
    <w:rsid w:val="00B73C41"/>
    <w:rsid w:val="00B81B7C"/>
    <w:rsid w:val="00B87663"/>
    <w:rsid w:val="00B92D02"/>
    <w:rsid w:val="00B96D19"/>
    <w:rsid w:val="00BB5583"/>
    <w:rsid w:val="00BB56B1"/>
    <w:rsid w:val="00BD20D4"/>
    <w:rsid w:val="00BD488F"/>
    <w:rsid w:val="00BD6EDF"/>
    <w:rsid w:val="00BF2E82"/>
    <w:rsid w:val="00BF4A3C"/>
    <w:rsid w:val="00BF6A88"/>
    <w:rsid w:val="00BF77B3"/>
    <w:rsid w:val="00C05546"/>
    <w:rsid w:val="00C10203"/>
    <w:rsid w:val="00C22BE3"/>
    <w:rsid w:val="00C230E1"/>
    <w:rsid w:val="00C23C8E"/>
    <w:rsid w:val="00C25497"/>
    <w:rsid w:val="00C27916"/>
    <w:rsid w:val="00C374B5"/>
    <w:rsid w:val="00C37D0F"/>
    <w:rsid w:val="00C41BBF"/>
    <w:rsid w:val="00C65B29"/>
    <w:rsid w:val="00C67229"/>
    <w:rsid w:val="00C76217"/>
    <w:rsid w:val="00C87445"/>
    <w:rsid w:val="00C967AA"/>
    <w:rsid w:val="00CA65D0"/>
    <w:rsid w:val="00CD0B8E"/>
    <w:rsid w:val="00CD1BD2"/>
    <w:rsid w:val="00CD3F5C"/>
    <w:rsid w:val="00CD4090"/>
    <w:rsid w:val="00CD7795"/>
    <w:rsid w:val="00CE7A1E"/>
    <w:rsid w:val="00CF57C8"/>
    <w:rsid w:val="00D02368"/>
    <w:rsid w:val="00D15891"/>
    <w:rsid w:val="00D218CB"/>
    <w:rsid w:val="00D25B8C"/>
    <w:rsid w:val="00D3085E"/>
    <w:rsid w:val="00D3261C"/>
    <w:rsid w:val="00D36724"/>
    <w:rsid w:val="00D36D78"/>
    <w:rsid w:val="00D43E65"/>
    <w:rsid w:val="00D47F76"/>
    <w:rsid w:val="00D61E7E"/>
    <w:rsid w:val="00D65ACA"/>
    <w:rsid w:val="00D71244"/>
    <w:rsid w:val="00D71506"/>
    <w:rsid w:val="00D72BA5"/>
    <w:rsid w:val="00D827E3"/>
    <w:rsid w:val="00D904C3"/>
    <w:rsid w:val="00D94E45"/>
    <w:rsid w:val="00D95B9E"/>
    <w:rsid w:val="00DA112D"/>
    <w:rsid w:val="00DA33BA"/>
    <w:rsid w:val="00DA7D7A"/>
    <w:rsid w:val="00DB10D8"/>
    <w:rsid w:val="00DB14DB"/>
    <w:rsid w:val="00DB3612"/>
    <w:rsid w:val="00DB490A"/>
    <w:rsid w:val="00DB56A3"/>
    <w:rsid w:val="00DC25D2"/>
    <w:rsid w:val="00DD133A"/>
    <w:rsid w:val="00DD3861"/>
    <w:rsid w:val="00DD4B5A"/>
    <w:rsid w:val="00DD5997"/>
    <w:rsid w:val="00DD6C51"/>
    <w:rsid w:val="00DE4363"/>
    <w:rsid w:val="00DE6A34"/>
    <w:rsid w:val="00DF347C"/>
    <w:rsid w:val="00DF5021"/>
    <w:rsid w:val="00DF5EAD"/>
    <w:rsid w:val="00DF6758"/>
    <w:rsid w:val="00E00618"/>
    <w:rsid w:val="00E04A86"/>
    <w:rsid w:val="00E050DE"/>
    <w:rsid w:val="00E06DF6"/>
    <w:rsid w:val="00E0709C"/>
    <w:rsid w:val="00E154B0"/>
    <w:rsid w:val="00E16EF2"/>
    <w:rsid w:val="00E204F7"/>
    <w:rsid w:val="00E26E6A"/>
    <w:rsid w:val="00E27CE4"/>
    <w:rsid w:val="00E32E6F"/>
    <w:rsid w:val="00E34252"/>
    <w:rsid w:val="00E376F8"/>
    <w:rsid w:val="00E657BC"/>
    <w:rsid w:val="00E65D93"/>
    <w:rsid w:val="00E6652D"/>
    <w:rsid w:val="00E73077"/>
    <w:rsid w:val="00E7778B"/>
    <w:rsid w:val="00E862FD"/>
    <w:rsid w:val="00E92B9F"/>
    <w:rsid w:val="00E940C0"/>
    <w:rsid w:val="00EA1D58"/>
    <w:rsid w:val="00EA43EB"/>
    <w:rsid w:val="00EB2261"/>
    <w:rsid w:val="00EB479E"/>
    <w:rsid w:val="00ED12B4"/>
    <w:rsid w:val="00ED1FD1"/>
    <w:rsid w:val="00ED458D"/>
    <w:rsid w:val="00ED6F6F"/>
    <w:rsid w:val="00EE7A6C"/>
    <w:rsid w:val="00EF3442"/>
    <w:rsid w:val="00EF388C"/>
    <w:rsid w:val="00EF3A63"/>
    <w:rsid w:val="00EF4D5A"/>
    <w:rsid w:val="00EF5B3F"/>
    <w:rsid w:val="00EF6870"/>
    <w:rsid w:val="00EF6ED6"/>
    <w:rsid w:val="00F00F48"/>
    <w:rsid w:val="00F07150"/>
    <w:rsid w:val="00F17547"/>
    <w:rsid w:val="00F242AD"/>
    <w:rsid w:val="00F246F4"/>
    <w:rsid w:val="00F24D36"/>
    <w:rsid w:val="00F27743"/>
    <w:rsid w:val="00F304C0"/>
    <w:rsid w:val="00F348B2"/>
    <w:rsid w:val="00F34DA9"/>
    <w:rsid w:val="00F36EBB"/>
    <w:rsid w:val="00F36ECB"/>
    <w:rsid w:val="00F40628"/>
    <w:rsid w:val="00F4239E"/>
    <w:rsid w:val="00F45746"/>
    <w:rsid w:val="00F47B24"/>
    <w:rsid w:val="00F5028C"/>
    <w:rsid w:val="00F50958"/>
    <w:rsid w:val="00F615CB"/>
    <w:rsid w:val="00F62FF1"/>
    <w:rsid w:val="00F672F3"/>
    <w:rsid w:val="00F70E27"/>
    <w:rsid w:val="00F72EBA"/>
    <w:rsid w:val="00F73EE8"/>
    <w:rsid w:val="00F77AE4"/>
    <w:rsid w:val="00F838C7"/>
    <w:rsid w:val="00F900AA"/>
    <w:rsid w:val="00F90ECF"/>
    <w:rsid w:val="00FA66EB"/>
    <w:rsid w:val="00FB2C77"/>
    <w:rsid w:val="00FB3ECC"/>
    <w:rsid w:val="00FC2E5E"/>
    <w:rsid w:val="00FC3598"/>
    <w:rsid w:val="00FE535D"/>
    <w:rsid w:val="00FE5C79"/>
    <w:rsid w:val="00FE6C8D"/>
    <w:rsid w:val="00FF22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BD7D"/>
  <w15:docId w15:val="{EF255396-396A-460D-9D32-45086DA0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3F5451"/>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077"/>
    <w:pPr>
      <w:ind w:left="720"/>
      <w:contextualSpacing/>
    </w:pPr>
  </w:style>
  <w:style w:type="character" w:styleId="Hyperlink">
    <w:name w:val="Hyperlink"/>
    <w:basedOn w:val="DefaultParagraphFont"/>
    <w:uiPriority w:val="99"/>
    <w:unhideWhenUsed/>
    <w:rsid w:val="00EF388C"/>
    <w:rPr>
      <w:color w:val="0563C1" w:themeColor="hyperlink"/>
      <w:u w:val="single"/>
    </w:rPr>
  </w:style>
  <w:style w:type="table" w:styleId="TableGrid">
    <w:name w:val="Table Grid"/>
    <w:basedOn w:val="TableNormal"/>
    <w:uiPriority w:val="39"/>
    <w:rsid w:val="00DE6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449A0"/>
    <w:rPr>
      <w:sz w:val="16"/>
      <w:szCs w:val="16"/>
    </w:rPr>
  </w:style>
  <w:style w:type="paragraph" w:styleId="CommentText">
    <w:name w:val="annotation text"/>
    <w:basedOn w:val="Normal"/>
    <w:link w:val="CommentTextChar"/>
    <w:uiPriority w:val="99"/>
    <w:unhideWhenUsed/>
    <w:rsid w:val="000449A0"/>
    <w:pPr>
      <w:spacing w:line="240" w:lineRule="auto"/>
    </w:pPr>
    <w:rPr>
      <w:sz w:val="20"/>
      <w:szCs w:val="20"/>
    </w:rPr>
  </w:style>
  <w:style w:type="character" w:customStyle="1" w:styleId="CommentTextChar">
    <w:name w:val="Comment Text Char"/>
    <w:basedOn w:val="DefaultParagraphFont"/>
    <w:link w:val="CommentText"/>
    <w:uiPriority w:val="99"/>
    <w:rsid w:val="000449A0"/>
    <w:rPr>
      <w:sz w:val="20"/>
      <w:szCs w:val="20"/>
    </w:rPr>
  </w:style>
  <w:style w:type="paragraph" w:styleId="BalloonText">
    <w:name w:val="Balloon Text"/>
    <w:basedOn w:val="Normal"/>
    <w:link w:val="BalloonTextChar"/>
    <w:uiPriority w:val="99"/>
    <w:semiHidden/>
    <w:unhideWhenUsed/>
    <w:rsid w:val="00044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9A0"/>
    <w:rPr>
      <w:rFonts w:ascii="Segoe UI" w:hAnsi="Segoe UI" w:cs="Segoe UI"/>
      <w:sz w:val="18"/>
      <w:szCs w:val="18"/>
    </w:rPr>
  </w:style>
  <w:style w:type="character" w:customStyle="1" w:styleId="Heading5Char">
    <w:name w:val="Heading 5 Char"/>
    <w:basedOn w:val="DefaultParagraphFont"/>
    <w:link w:val="Heading5"/>
    <w:uiPriority w:val="9"/>
    <w:rsid w:val="003F5451"/>
    <w:rPr>
      <w:rFonts w:ascii="Times New Roman" w:eastAsia="Times New Roman" w:hAnsi="Times New Roman" w:cs="Times New Roman"/>
      <w:b/>
      <w:bCs/>
      <w:sz w:val="20"/>
      <w:szCs w:val="20"/>
      <w:lang w:eastAsia="en-AU"/>
    </w:rPr>
  </w:style>
  <w:style w:type="character" w:styleId="Strong">
    <w:name w:val="Strong"/>
    <w:basedOn w:val="DefaultParagraphFont"/>
    <w:uiPriority w:val="22"/>
    <w:qFormat/>
    <w:rsid w:val="003F5451"/>
    <w:rPr>
      <w:b/>
      <w:bCs/>
    </w:rPr>
  </w:style>
  <w:style w:type="paragraph" w:styleId="Header">
    <w:name w:val="header"/>
    <w:basedOn w:val="Normal"/>
    <w:link w:val="HeaderChar"/>
    <w:uiPriority w:val="99"/>
    <w:unhideWhenUsed/>
    <w:rsid w:val="00EF5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B3F"/>
  </w:style>
  <w:style w:type="paragraph" w:styleId="Footer">
    <w:name w:val="footer"/>
    <w:basedOn w:val="Normal"/>
    <w:link w:val="FooterChar"/>
    <w:uiPriority w:val="99"/>
    <w:unhideWhenUsed/>
    <w:rsid w:val="00EF5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B3F"/>
  </w:style>
  <w:style w:type="character" w:styleId="FollowedHyperlink">
    <w:name w:val="FollowedHyperlink"/>
    <w:basedOn w:val="DefaultParagraphFont"/>
    <w:uiPriority w:val="99"/>
    <w:semiHidden/>
    <w:unhideWhenUsed/>
    <w:rsid w:val="00545CF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5181E"/>
    <w:rPr>
      <w:b/>
      <w:bCs/>
    </w:rPr>
  </w:style>
  <w:style w:type="character" w:customStyle="1" w:styleId="CommentSubjectChar">
    <w:name w:val="Comment Subject Char"/>
    <w:basedOn w:val="CommentTextChar"/>
    <w:link w:val="CommentSubject"/>
    <w:uiPriority w:val="99"/>
    <w:semiHidden/>
    <w:rsid w:val="0095181E"/>
    <w:rPr>
      <w:b/>
      <w:bCs/>
      <w:sz w:val="20"/>
      <w:szCs w:val="20"/>
    </w:rPr>
  </w:style>
  <w:style w:type="character" w:customStyle="1" w:styleId="tx">
    <w:name w:val="tx"/>
    <w:basedOn w:val="DefaultParagraphFont"/>
    <w:rsid w:val="008C62A4"/>
  </w:style>
  <w:style w:type="paragraph" w:styleId="FootnoteText">
    <w:name w:val="footnote text"/>
    <w:basedOn w:val="Normal"/>
    <w:link w:val="FootnoteTextChar"/>
    <w:uiPriority w:val="99"/>
    <w:semiHidden/>
    <w:unhideWhenUsed/>
    <w:rsid w:val="001809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0956"/>
    <w:rPr>
      <w:sz w:val="20"/>
      <w:szCs w:val="20"/>
    </w:rPr>
  </w:style>
  <w:style w:type="character" w:styleId="FootnoteReference">
    <w:name w:val="footnote reference"/>
    <w:basedOn w:val="DefaultParagraphFont"/>
    <w:uiPriority w:val="99"/>
    <w:semiHidden/>
    <w:unhideWhenUsed/>
    <w:rsid w:val="00180956"/>
    <w:rPr>
      <w:vertAlign w:val="superscript"/>
    </w:rPr>
  </w:style>
  <w:style w:type="character" w:customStyle="1" w:styleId="self-citation-authors">
    <w:name w:val="self-citation-authors"/>
    <w:basedOn w:val="DefaultParagraphFont"/>
    <w:rsid w:val="00542EFD"/>
  </w:style>
  <w:style w:type="character" w:customStyle="1" w:styleId="self-citation-year">
    <w:name w:val="self-citation-year"/>
    <w:basedOn w:val="DefaultParagraphFont"/>
    <w:rsid w:val="00542EFD"/>
  </w:style>
  <w:style w:type="character" w:customStyle="1" w:styleId="self-citation-title">
    <w:name w:val="self-citation-title"/>
    <w:basedOn w:val="DefaultParagraphFont"/>
    <w:rsid w:val="00542EFD"/>
  </w:style>
  <w:style w:type="character" w:customStyle="1" w:styleId="self-citation-journal">
    <w:name w:val="self-citation-journal"/>
    <w:basedOn w:val="DefaultParagraphFont"/>
    <w:rsid w:val="00542EFD"/>
  </w:style>
  <w:style w:type="character" w:customStyle="1" w:styleId="self-citation-volume">
    <w:name w:val="self-citation-volume"/>
    <w:basedOn w:val="DefaultParagraphFont"/>
    <w:rsid w:val="00542EFD"/>
  </w:style>
  <w:style w:type="character" w:customStyle="1" w:styleId="self-citation-elocation">
    <w:name w:val="self-citation-elocation"/>
    <w:basedOn w:val="DefaultParagraphFont"/>
    <w:rsid w:val="00542EFD"/>
  </w:style>
  <w:style w:type="character" w:customStyle="1" w:styleId="citation">
    <w:name w:val="citation"/>
    <w:basedOn w:val="DefaultParagraphFont"/>
    <w:rsid w:val="00542EFD"/>
  </w:style>
  <w:style w:type="character" w:customStyle="1" w:styleId="personname">
    <w:name w:val="person_name"/>
    <w:basedOn w:val="DefaultParagraphFont"/>
    <w:rsid w:val="00542EFD"/>
  </w:style>
  <w:style w:type="character" w:styleId="Emphasis">
    <w:name w:val="Emphasis"/>
    <w:basedOn w:val="DefaultParagraphFont"/>
    <w:uiPriority w:val="20"/>
    <w:qFormat/>
    <w:rsid w:val="00542E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54258">
      <w:bodyDiv w:val="1"/>
      <w:marLeft w:val="0"/>
      <w:marRight w:val="0"/>
      <w:marTop w:val="0"/>
      <w:marBottom w:val="0"/>
      <w:divBdr>
        <w:top w:val="none" w:sz="0" w:space="0" w:color="auto"/>
        <w:left w:val="none" w:sz="0" w:space="0" w:color="auto"/>
        <w:bottom w:val="none" w:sz="0" w:space="0" w:color="auto"/>
        <w:right w:val="none" w:sz="0" w:space="0" w:color="auto"/>
      </w:divBdr>
    </w:div>
    <w:div w:id="592127896">
      <w:bodyDiv w:val="1"/>
      <w:marLeft w:val="0"/>
      <w:marRight w:val="0"/>
      <w:marTop w:val="0"/>
      <w:marBottom w:val="0"/>
      <w:divBdr>
        <w:top w:val="none" w:sz="0" w:space="0" w:color="auto"/>
        <w:left w:val="none" w:sz="0" w:space="0" w:color="auto"/>
        <w:bottom w:val="none" w:sz="0" w:space="0" w:color="auto"/>
        <w:right w:val="none" w:sz="0" w:space="0" w:color="auto"/>
      </w:divBdr>
      <w:divsChild>
        <w:div w:id="2075159584">
          <w:marLeft w:val="0"/>
          <w:marRight w:val="0"/>
          <w:marTop w:val="0"/>
          <w:marBottom w:val="0"/>
          <w:divBdr>
            <w:top w:val="none" w:sz="0" w:space="0" w:color="auto"/>
            <w:left w:val="none" w:sz="0" w:space="0" w:color="auto"/>
            <w:bottom w:val="none" w:sz="0" w:space="0" w:color="auto"/>
            <w:right w:val="none" w:sz="0" w:space="0" w:color="auto"/>
          </w:divBdr>
          <w:divsChild>
            <w:div w:id="52319845">
              <w:marLeft w:val="0"/>
              <w:marRight w:val="0"/>
              <w:marTop w:val="0"/>
              <w:marBottom w:val="0"/>
              <w:divBdr>
                <w:top w:val="none" w:sz="0" w:space="0" w:color="auto"/>
                <w:left w:val="none" w:sz="0" w:space="0" w:color="auto"/>
                <w:bottom w:val="none" w:sz="0" w:space="0" w:color="auto"/>
                <w:right w:val="none" w:sz="0" w:space="0" w:color="auto"/>
              </w:divBdr>
              <w:divsChild>
                <w:div w:id="1581480852">
                  <w:marLeft w:val="0"/>
                  <w:marRight w:val="0"/>
                  <w:marTop w:val="0"/>
                  <w:marBottom w:val="0"/>
                  <w:divBdr>
                    <w:top w:val="none" w:sz="0" w:space="0" w:color="auto"/>
                    <w:left w:val="none" w:sz="0" w:space="0" w:color="auto"/>
                    <w:bottom w:val="none" w:sz="0" w:space="0" w:color="auto"/>
                    <w:right w:val="none" w:sz="0" w:space="0" w:color="auto"/>
                  </w:divBdr>
                  <w:divsChild>
                    <w:div w:id="59016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44967">
      <w:bodyDiv w:val="1"/>
      <w:marLeft w:val="0"/>
      <w:marRight w:val="0"/>
      <w:marTop w:val="0"/>
      <w:marBottom w:val="0"/>
      <w:divBdr>
        <w:top w:val="none" w:sz="0" w:space="0" w:color="auto"/>
        <w:left w:val="none" w:sz="0" w:space="0" w:color="auto"/>
        <w:bottom w:val="none" w:sz="0" w:space="0" w:color="auto"/>
        <w:right w:val="none" w:sz="0" w:space="0" w:color="auto"/>
      </w:divBdr>
      <w:divsChild>
        <w:div w:id="1826821253">
          <w:marLeft w:val="0"/>
          <w:marRight w:val="0"/>
          <w:marTop w:val="0"/>
          <w:marBottom w:val="0"/>
          <w:divBdr>
            <w:top w:val="none" w:sz="0" w:space="0" w:color="auto"/>
            <w:left w:val="none" w:sz="0" w:space="0" w:color="auto"/>
            <w:bottom w:val="none" w:sz="0" w:space="0" w:color="auto"/>
            <w:right w:val="none" w:sz="0" w:space="0" w:color="auto"/>
          </w:divBdr>
        </w:div>
        <w:div w:id="950166517">
          <w:marLeft w:val="0"/>
          <w:marRight w:val="0"/>
          <w:marTop w:val="0"/>
          <w:marBottom w:val="0"/>
          <w:divBdr>
            <w:top w:val="none" w:sz="0" w:space="0" w:color="auto"/>
            <w:left w:val="none" w:sz="0" w:space="0" w:color="auto"/>
            <w:bottom w:val="none" w:sz="0" w:space="0" w:color="auto"/>
            <w:right w:val="none" w:sz="0" w:space="0" w:color="auto"/>
          </w:divBdr>
        </w:div>
        <w:div w:id="1099448378">
          <w:marLeft w:val="0"/>
          <w:marRight w:val="0"/>
          <w:marTop w:val="0"/>
          <w:marBottom w:val="0"/>
          <w:divBdr>
            <w:top w:val="none" w:sz="0" w:space="0" w:color="auto"/>
            <w:left w:val="none" w:sz="0" w:space="0" w:color="auto"/>
            <w:bottom w:val="none" w:sz="0" w:space="0" w:color="auto"/>
            <w:right w:val="none" w:sz="0" w:space="0" w:color="auto"/>
          </w:divBdr>
        </w:div>
        <w:div w:id="451478511">
          <w:marLeft w:val="0"/>
          <w:marRight w:val="0"/>
          <w:marTop w:val="0"/>
          <w:marBottom w:val="0"/>
          <w:divBdr>
            <w:top w:val="none" w:sz="0" w:space="0" w:color="auto"/>
            <w:left w:val="none" w:sz="0" w:space="0" w:color="auto"/>
            <w:bottom w:val="none" w:sz="0" w:space="0" w:color="auto"/>
            <w:right w:val="none" w:sz="0" w:space="0" w:color="auto"/>
          </w:divBdr>
        </w:div>
        <w:div w:id="1837844480">
          <w:marLeft w:val="0"/>
          <w:marRight w:val="0"/>
          <w:marTop w:val="0"/>
          <w:marBottom w:val="0"/>
          <w:divBdr>
            <w:top w:val="none" w:sz="0" w:space="0" w:color="auto"/>
            <w:left w:val="none" w:sz="0" w:space="0" w:color="auto"/>
            <w:bottom w:val="none" w:sz="0" w:space="0" w:color="auto"/>
            <w:right w:val="none" w:sz="0" w:space="0" w:color="auto"/>
          </w:divBdr>
        </w:div>
      </w:divsChild>
    </w:div>
    <w:div w:id="1701394267">
      <w:bodyDiv w:val="1"/>
      <w:marLeft w:val="0"/>
      <w:marRight w:val="0"/>
      <w:marTop w:val="0"/>
      <w:marBottom w:val="0"/>
      <w:divBdr>
        <w:top w:val="none" w:sz="0" w:space="0" w:color="auto"/>
        <w:left w:val="none" w:sz="0" w:space="0" w:color="auto"/>
        <w:bottom w:val="none" w:sz="0" w:space="0" w:color="auto"/>
        <w:right w:val="none" w:sz="0" w:space="0" w:color="auto"/>
      </w:divBdr>
      <w:divsChild>
        <w:div w:id="192112336">
          <w:marLeft w:val="0"/>
          <w:marRight w:val="0"/>
          <w:marTop w:val="0"/>
          <w:marBottom w:val="0"/>
          <w:divBdr>
            <w:top w:val="none" w:sz="0" w:space="0" w:color="auto"/>
            <w:left w:val="none" w:sz="0" w:space="0" w:color="auto"/>
            <w:bottom w:val="none" w:sz="0" w:space="0" w:color="auto"/>
            <w:right w:val="none" w:sz="0" w:space="0" w:color="auto"/>
          </w:divBdr>
          <w:divsChild>
            <w:div w:id="582570624">
              <w:marLeft w:val="0"/>
              <w:marRight w:val="0"/>
              <w:marTop w:val="0"/>
              <w:marBottom w:val="0"/>
              <w:divBdr>
                <w:top w:val="none" w:sz="0" w:space="0" w:color="auto"/>
                <w:left w:val="none" w:sz="0" w:space="0" w:color="auto"/>
                <w:bottom w:val="none" w:sz="0" w:space="0" w:color="auto"/>
                <w:right w:val="none" w:sz="0" w:space="0" w:color="auto"/>
              </w:divBdr>
              <w:divsChild>
                <w:div w:id="118763334">
                  <w:marLeft w:val="0"/>
                  <w:marRight w:val="0"/>
                  <w:marTop w:val="0"/>
                  <w:marBottom w:val="0"/>
                  <w:divBdr>
                    <w:top w:val="none" w:sz="0" w:space="0" w:color="auto"/>
                    <w:left w:val="none" w:sz="0" w:space="0" w:color="auto"/>
                    <w:bottom w:val="none" w:sz="0" w:space="0" w:color="auto"/>
                    <w:right w:val="none" w:sz="0" w:space="0" w:color="auto"/>
                  </w:divBdr>
                  <w:divsChild>
                    <w:div w:id="1551765632">
                      <w:marLeft w:val="0"/>
                      <w:marRight w:val="0"/>
                      <w:marTop w:val="0"/>
                      <w:marBottom w:val="0"/>
                      <w:divBdr>
                        <w:top w:val="none" w:sz="0" w:space="0" w:color="auto"/>
                        <w:left w:val="none" w:sz="0" w:space="0" w:color="auto"/>
                        <w:bottom w:val="none" w:sz="0" w:space="0" w:color="auto"/>
                        <w:right w:val="none" w:sz="0" w:space="0" w:color="auto"/>
                      </w:divBdr>
                      <w:divsChild>
                        <w:div w:id="721828657">
                          <w:marLeft w:val="0"/>
                          <w:marRight w:val="0"/>
                          <w:marTop w:val="0"/>
                          <w:marBottom w:val="0"/>
                          <w:divBdr>
                            <w:top w:val="none" w:sz="0" w:space="0" w:color="auto"/>
                            <w:left w:val="none" w:sz="0" w:space="0" w:color="auto"/>
                            <w:bottom w:val="none" w:sz="0" w:space="0" w:color="auto"/>
                            <w:right w:val="none" w:sz="0" w:space="0" w:color="auto"/>
                          </w:divBdr>
                          <w:divsChild>
                            <w:div w:id="1630892651">
                              <w:marLeft w:val="0"/>
                              <w:marRight w:val="0"/>
                              <w:marTop w:val="0"/>
                              <w:marBottom w:val="0"/>
                              <w:divBdr>
                                <w:top w:val="none" w:sz="0" w:space="0" w:color="auto"/>
                                <w:left w:val="none" w:sz="0" w:space="0" w:color="auto"/>
                                <w:bottom w:val="none" w:sz="0" w:space="0" w:color="auto"/>
                                <w:right w:val="none" w:sz="0" w:space="0" w:color="auto"/>
                              </w:divBdr>
                              <w:divsChild>
                                <w:div w:id="1679430066">
                                  <w:marLeft w:val="0"/>
                                  <w:marRight w:val="0"/>
                                  <w:marTop w:val="0"/>
                                  <w:marBottom w:val="0"/>
                                  <w:divBdr>
                                    <w:top w:val="none" w:sz="0" w:space="0" w:color="auto"/>
                                    <w:left w:val="none" w:sz="0" w:space="0" w:color="auto"/>
                                    <w:bottom w:val="none" w:sz="0" w:space="0" w:color="auto"/>
                                    <w:right w:val="none" w:sz="0" w:space="0" w:color="auto"/>
                                  </w:divBdr>
                                  <w:divsChild>
                                    <w:div w:id="12900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246468">
      <w:bodyDiv w:val="1"/>
      <w:marLeft w:val="0"/>
      <w:marRight w:val="0"/>
      <w:marTop w:val="0"/>
      <w:marBottom w:val="0"/>
      <w:divBdr>
        <w:top w:val="none" w:sz="0" w:space="0" w:color="auto"/>
        <w:left w:val="none" w:sz="0" w:space="0" w:color="auto"/>
        <w:bottom w:val="none" w:sz="0" w:space="0" w:color="auto"/>
        <w:right w:val="none" w:sz="0" w:space="0" w:color="auto"/>
      </w:divBdr>
      <w:divsChild>
        <w:div w:id="621575281">
          <w:marLeft w:val="0"/>
          <w:marRight w:val="0"/>
          <w:marTop w:val="0"/>
          <w:marBottom w:val="0"/>
          <w:divBdr>
            <w:top w:val="none" w:sz="0" w:space="0" w:color="auto"/>
            <w:left w:val="none" w:sz="0" w:space="0" w:color="auto"/>
            <w:bottom w:val="none" w:sz="0" w:space="0" w:color="auto"/>
            <w:right w:val="none" w:sz="0" w:space="0" w:color="auto"/>
          </w:divBdr>
        </w:div>
        <w:div w:id="423694288">
          <w:marLeft w:val="0"/>
          <w:marRight w:val="0"/>
          <w:marTop w:val="0"/>
          <w:marBottom w:val="0"/>
          <w:divBdr>
            <w:top w:val="none" w:sz="0" w:space="0" w:color="auto"/>
            <w:left w:val="none" w:sz="0" w:space="0" w:color="auto"/>
            <w:bottom w:val="none" w:sz="0" w:space="0" w:color="auto"/>
            <w:right w:val="none" w:sz="0" w:space="0" w:color="auto"/>
          </w:divBdr>
        </w:div>
        <w:div w:id="853226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rbes.com/sites/meghancasserly/2012/05/11/10-jobs-that-didnt-exist-10-years-ago/" TargetMode="External"/><Relationship Id="rId18" Type="http://schemas.openxmlformats.org/officeDocument/2006/relationships/hyperlink" Target="http://www.rcuk.ac.uk/research/datapolicy/" TargetMode="External"/><Relationship Id="rId26" Type="http://schemas.openxmlformats.org/officeDocument/2006/relationships/hyperlink" Target="http://www.citizensciencealliance.org/philosophy.html" TargetMode="External"/><Relationship Id="rId39" Type="http://schemas.openxmlformats.org/officeDocument/2006/relationships/hyperlink" Target="https://projects.ands.org.au/id/SC11" TargetMode="External"/><Relationship Id="rId21" Type="http://schemas.openxmlformats.org/officeDocument/2006/relationships/hyperlink" Target="https://www.gov.uk/government/news/g8-science-ministers-statement%20Viewed%201%20October%202015" TargetMode="External"/><Relationship Id="rId34" Type="http://schemas.openxmlformats.org/officeDocument/2006/relationships/footer" Target="footer1.xml"/><Relationship Id="rId42" Type="http://schemas.openxmlformats.org/officeDocument/2006/relationships/hyperlink" Target="https://researchdata.ands.org.au/search/" TargetMode="External"/><Relationship Id="rId47" Type="http://schemas.openxmlformats.org/officeDocument/2006/relationships/hyperlink" Target="https://projects.ands.org.au/id/AP28" TargetMode="External"/><Relationship Id="rId50" Type="http://schemas.openxmlformats.org/officeDocument/2006/relationships/hyperlink" Target="http://alveo.edu.au/" TargetMode="External"/><Relationship Id="rId55" Type="http://schemas.openxmlformats.org/officeDocument/2006/relationships/hyperlink" Target="http://www.ozhupohpp7.com/hom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x.doi.org/10.7717/peerj.175%20Viewed%201%20October%202015" TargetMode="External"/><Relationship Id="rId29" Type="http://schemas.openxmlformats.org/officeDocument/2006/relationships/hyperlink" Target="https://china.internet2.edu/about/" TargetMode="External"/><Relationship Id="rId11" Type="http://schemas.openxmlformats.org/officeDocument/2006/relationships/hyperlink" Target="https://china.internet2.edu/about/" TargetMode="External"/><Relationship Id="rId24" Type="http://schemas.openxmlformats.org/officeDocument/2006/relationships/hyperlink" Target="http://eprints.qut.edu.au/view/person/Young,_Joseph.html" TargetMode="External"/><Relationship Id="rId32" Type="http://schemas.openxmlformats.org/officeDocument/2006/relationships/hyperlink" Target="http://www.opensciencegrid.org/" TargetMode="External"/><Relationship Id="rId37" Type="http://schemas.openxmlformats.org/officeDocument/2006/relationships/hyperlink" Target="https://projects.ands.org.au/id/AP32" TargetMode="External"/><Relationship Id="rId40" Type="http://schemas.openxmlformats.org/officeDocument/2006/relationships/hyperlink" Target="http://www.research.mq.edu.au/current_research_staff/data_management/managing_research_data/research_toolkit/new_to_data_management" TargetMode="External"/><Relationship Id="rId45" Type="http://schemas.openxmlformats.org/officeDocument/2006/relationships/hyperlink" Target="https://projects.ands.org.au/id/DC12C" TargetMode="External"/><Relationship Id="rId53" Type="http://schemas.openxmlformats.org/officeDocument/2006/relationships/hyperlink" Target="http://aihi.mq.edu.au/project/wombat-work-observation-method-activity-timing" TargetMode="External"/><Relationship Id="rId58" Type="http://schemas.openxmlformats.org/officeDocument/2006/relationships/hyperlink" Target="https://www.ausnc.org.au/"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royalsociety.org/topics-policy/projects/science-public-enterprise/report/" TargetMode="External"/><Relationship Id="rId14" Type="http://schemas.openxmlformats.org/officeDocument/2006/relationships/hyperlink" Target="http://europa.eu/rapid/press-release_IP-13-1257_en.htm" TargetMode="External"/><Relationship Id="rId22" Type="http://schemas.openxmlformats.org/officeDocument/2006/relationships/hyperlink" Target="http://www.researchinfonet.org/wp-content/uploads/2014/07/Joint-statement-of-principles-June-2014.pdf" TargetMode="External"/><Relationship Id="rId27" Type="http://schemas.openxmlformats.org/officeDocument/2006/relationships/hyperlink" Target="http://www.birds.cornell.edu/citscitoolkit/about/defining-citizen-science/" TargetMode="External"/><Relationship Id="rId30" Type="http://schemas.openxmlformats.org/officeDocument/2006/relationships/hyperlink" Target="http://www.oceannetworks.ca/" TargetMode="External"/><Relationship Id="rId35" Type="http://schemas.openxmlformats.org/officeDocument/2006/relationships/hyperlink" Target="https://projects.ands.org.au/id/MODC14" TargetMode="External"/><Relationship Id="rId43" Type="http://schemas.openxmlformats.org/officeDocument/2006/relationships/hyperlink" Target="http://ands.org.au/news/andsnapshot.html" TargetMode="External"/><Relationship Id="rId48" Type="http://schemas.openxmlformats.org/officeDocument/2006/relationships/hyperlink" Target="http://episat-software.blogspot.com.au/" TargetMode="External"/><Relationship Id="rId56" Type="http://schemas.openxmlformats.org/officeDocument/2006/relationships/hyperlink" Target="https://researchdata.ands.org.au/the-proteome-browser/11319" TargetMode="External"/><Relationship Id="rId8" Type="http://schemas.openxmlformats.org/officeDocument/2006/relationships/image" Target="media/image1.emf"/><Relationship Id="rId51" Type="http://schemas.openxmlformats.org/officeDocument/2006/relationships/hyperlink" Target="http://clt.mq.edu.au/research/projects/dada/" TargetMode="External"/><Relationship Id="rId3" Type="http://schemas.openxmlformats.org/officeDocument/2006/relationships/styles" Target="styles.xml"/><Relationship Id="rId12" Type="http://schemas.openxmlformats.org/officeDocument/2006/relationships/hyperlink" Target="https://www.gov.uk/government/news/g8-science-ministers-statement" TargetMode="External"/><Relationship Id="rId17" Type="http://schemas.openxmlformats.org/officeDocument/2006/relationships/hyperlink" Target="http://news.aarnet.edu.au/higlights-of-the-eresearch-australasia-2015-conference/" TargetMode="External"/><Relationship Id="rId25" Type="http://schemas.openxmlformats.org/officeDocument/2006/relationships/hyperlink" Target="http://eprints.qut.edu.au/28308/" TargetMode="External"/><Relationship Id="rId33" Type="http://schemas.openxmlformats.org/officeDocument/2006/relationships/hyperlink" Target="http://rufuspollock.org/misc/" TargetMode="External"/><Relationship Id="rId38" Type="http://schemas.openxmlformats.org/officeDocument/2006/relationships/hyperlink" Target="https://projects.ands.org.au/id/NCRIS012" TargetMode="External"/><Relationship Id="rId46" Type="http://schemas.openxmlformats.org/officeDocument/2006/relationships/hyperlink" Target="https://papyri.mq.edu.au/" TargetMode="External"/><Relationship Id="rId59" Type="http://schemas.openxmlformats.org/officeDocument/2006/relationships/hyperlink" Target="http://software-carpentry.org/" TargetMode="External"/><Relationship Id="rId20" Type="http://schemas.openxmlformats.org/officeDocument/2006/relationships/hyperlink" Target="http://www.researchinfonet.org/wp-content/uploads/2014/07/Jan-2014-Forum-Report.pdf" TargetMode="External"/><Relationship Id="rId41" Type="http://schemas.openxmlformats.org/officeDocument/2006/relationships/hyperlink" Target="https://projects.ands.org.au/id/MS19" TargetMode="External"/><Relationship Id="rId54" Type="http://schemas.openxmlformats.org/officeDocument/2006/relationships/hyperlink" Target="https://projects.ands.org.au/id/AP3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orbes.com/sites/matthewherper/2013/06/19/" TargetMode="External"/><Relationship Id="rId23" Type="http://schemas.openxmlformats.org/officeDocument/2006/relationships/hyperlink" Target="http://eprints.qut.edu.au/view/person/Young,_Carolyn.html" TargetMode="External"/><Relationship Id="rId28" Type="http://schemas.openxmlformats.org/officeDocument/2006/relationships/hyperlink" Target="http://www.egi.eu/about/egi-engage/index.html" TargetMode="External"/><Relationship Id="rId36" Type="http://schemas.openxmlformats.org/officeDocument/2006/relationships/hyperlink" Target="https://projects.ands.org.au/id/AP28" TargetMode="External"/><Relationship Id="rId49" Type="http://schemas.openxmlformats.org/officeDocument/2006/relationships/hyperlink" Target="https://projects.ands.org.au/id/MODC14" TargetMode="External"/><Relationship Id="rId57" Type="http://schemas.openxmlformats.org/officeDocument/2006/relationships/hyperlink" Target="https://projects.ands.org.au/id/NCRIS012" TargetMode="External"/><Relationship Id="rId10" Type="http://schemas.openxmlformats.org/officeDocument/2006/relationships/hyperlink" Target="http://www.egi.eu/about/egi-engage/index.html" TargetMode="External"/><Relationship Id="rId31" Type="http://schemas.openxmlformats.org/officeDocument/2006/relationships/hyperlink" Target="https://www.whitehouse.gov/blog/2015/09/09/open-science-and-innovation-people-people-people" TargetMode="External"/><Relationship Id="rId44" Type="http://schemas.openxmlformats.org/officeDocument/2006/relationships/hyperlink" Target="https://researchdata.ands.org.au/glycosuitedb-a-glycan-structure-repository-catalogue/19266" TargetMode="External"/><Relationship Id="rId52" Type="http://schemas.openxmlformats.org/officeDocument/2006/relationships/hyperlink" Target="https://www.fedarch.org/wordpress/" TargetMode="External"/><Relationship Id="rId60" Type="http://schemas.openxmlformats.org/officeDocument/2006/relationships/hyperlink" Target="mailto:emily.brennan@mq.edu.au" TargetMode="External"/><Relationship Id="rId4" Type="http://schemas.openxmlformats.org/officeDocument/2006/relationships/settings" Target="settings.xml"/><Relationship Id="rId9" Type="http://schemas.openxmlformats.org/officeDocument/2006/relationships/hyperlink" Target="http://www.opensciencegr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FDB7B-B691-480D-AC6F-005F77B6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11027</Words>
  <Characters>62855</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Brennan</dc:creator>
  <cp:lastModifiedBy>Ms Emily Brennan</cp:lastModifiedBy>
  <cp:revision>7</cp:revision>
  <cp:lastPrinted>2015-12-04T03:34:00Z</cp:lastPrinted>
  <dcterms:created xsi:type="dcterms:W3CDTF">2016-01-18T01:02:00Z</dcterms:created>
  <dcterms:modified xsi:type="dcterms:W3CDTF">2016-01-28T04:31:00Z</dcterms:modified>
</cp:coreProperties>
</file>